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E203A" w14:textId="2A81C4B3" w:rsidR="00C706BC" w:rsidRDefault="00FB0755" w:rsidP="00C706BC">
      <w:pPr>
        <w:rPr>
          <w:rFonts w:ascii="Verdana" w:hAnsi="Verdana"/>
          <w:b/>
          <w:bCs/>
          <w:sz w:val="20"/>
          <w:szCs w:val="20"/>
          <w:u w:val="single"/>
        </w:rPr>
      </w:pPr>
      <w:r w:rsidRPr="007D508F">
        <w:rPr>
          <w:rFonts w:ascii="Verdana" w:hAnsi="Verdana"/>
          <w:b/>
          <w:bCs/>
          <w:sz w:val="20"/>
          <w:szCs w:val="20"/>
          <w:u w:val="single"/>
        </w:rPr>
        <w:t xml:space="preserve">Supplementary Report for SECPP in Response to Applicant’s Report Dated 23 November 2021 </w:t>
      </w: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4E051D" w:rsidRPr="00B62852" w14:paraId="2C9F60E5" w14:textId="77777777" w:rsidTr="004707C5">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FFF5CC" w:themeFill="accent1" w:themeFillTint="33"/>
            <w:vAlign w:val="center"/>
          </w:tcPr>
          <w:p w14:paraId="431B9453" w14:textId="77777777" w:rsidR="004E051D" w:rsidRPr="00E93CB4" w:rsidRDefault="004E051D" w:rsidP="004707C5">
            <w:pPr>
              <w:spacing w:before="60" w:after="60"/>
              <w:rPr>
                <w:rFonts w:ascii="Arial" w:hAnsi="Arial" w:cs="Arial"/>
              </w:rPr>
            </w:pPr>
            <w:r>
              <w:rPr>
                <w:rFonts w:ascii="Arial" w:hAnsi="Arial" w:cs="Arial"/>
                <w:color w:val="auto"/>
                <w:sz w:val="22"/>
                <w:szCs w:val="22"/>
              </w:rPr>
              <w:t>PANEL REFERENCE &amp; DA NUMBER</w:t>
            </w:r>
          </w:p>
        </w:tc>
        <w:bookmarkStart w:id="0" w:name="pyWorkListCombinedWidgetGridsMain_D_User"/>
        <w:tc>
          <w:tcPr>
            <w:tcW w:w="3393" w:type="pct"/>
            <w:vAlign w:val="center"/>
          </w:tcPr>
          <w:p w14:paraId="14160A8C" w14:textId="77777777" w:rsidR="004E051D" w:rsidRPr="00B62852" w:rsidRDefault="004E051D" w:rsidP="004707C5">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B62852">
              <w:rPr>
                <w:rFonts w:ascii="Arial" w:hAnsi="Arial" w:cs="Arial"/>
              </w:rPr>
              <w:fldChar w:fldCharType="begin"/>
            </w:r>
            <w:r w:rsidRPr="00B62852">
              <w:rPr>
                <w:rFonts w:ascii="Arial" w:hAnsi="Arial" w:cs="Arial"/>
                <w:color w:val="auto"/>
                <w:sz w:val="22"/>
                <w:szCs w:val="22"/>
              </w:rPr>
              <w:instrText xml:space="preserve"> HYPERLINK "https://apps.planningportal.nsw.gov.au/prweb/PRAuth/nNrigeH-_PunJOuDUyy3H1jpQabq9yrY*/!@bb327c84f6fc23142d412972766ed5d8!TABTHREAD0?pyactivitypzZZZ=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*" \o "Click here to open the work object" </w:instrText>
            </w:r>
            <w:r w:rsidRPr="00B62852">
              <w:rPr>
                <w:rFonts w:ascii="Arial" w:hAnsi="Arial" w:cs="Arial"/>
              </w:rPr>
              <w:fldChar w:fldCharType="separate"/>
            </w:r>
            <w:r w:rsidRPr="00B62852">
              <w:rPr>
                <w:rFonts w:ascii="Arial" w:hAnsi="Arial" w:cs="Arial"/>
                <w:color w:val="auto"/>
                <w:sz w:val="22"/>
                <w:szCs w:val="22"/>
              </w:rPr>
              <w:t>PPSSEC-117</w:t>
            </w:r>
            <w:r w:rsidRPr="00B62852">
              <w:rPr>
                <w:rFonts w:ascii="Arial" w:hAnsi="Arial" w:cs="Arial"/>
              </w:rPr>
              <w:fldChar w:fldCharType="end"/>
            </w:r>
            <w:bookmarkEnd w:id="0"/>
            <w:r w:rsidRPr="00B62852">
              <w:rPr>
                <w:rFonts w:ascii="Arial" w:hAnsi="Arial" w:cs="Arial"/>
                <w:color w:val="auto"/>
                <w:sz w:val="22"/>
                <w:szCs w:val="22"/>
              </w:rPr>
              <w:t xml:space="preserve"> -  DA/642/2020</w:t>
            </w:r>
          </w:p>
        </w:tc>
      </w:tr>
    </w:tbl>
    <w:p w14:paraId="61D0A96F" w14:textId="56977AE1" w:rsidR="00FB0755" w:rsidRPr="00B509BA" w:rsidRDefault="00B509BA" w:rsidP="00C706BC">
      <w:pPr>
        <w:rPr>
          <w:rFonts w:ascii="Verdana" w:hAnsi="Verdana"/>
          <w:b/>
          <w:bCs/>
          <w:sz w:val="20"/>
          <w:szCs w:val="20"/>
        </w:rPr>
      </w:pPr>
      <w:r w:rsidRPr="00B509BA">
        <w:rPr>
          <w:rFonts w:ascii="Verdana" w:hAnsi="Verdana"/>
          <w:b/>
          <w:bCs/>
          <w:sz w:val="20"/>
          <w:szCs w:val="20"/>
        </w:rPr>
        <w:t xml:space="preserve">Introduction: </w:t>
      </w:r>
    </w:p>
    <w:p w14:paraId="2DB7F69E" w14:textId="1D77C5C8" w:rsidR="00CB229E" w:rsidRPr="00B509BA" w:rsidRDefault="00CB229E" w:rsidP="00C706BC">
      <w:pPr>
        <w:rPr>
          <w:rFonts w:ascii="Verdana" w:hAnsi="Verdana"/>
          <w:sz w:val="20"/>
          <w:szCs w:val="20"/>
        </w:rPr>
      </w:pPr>
      <w:r w:rsidRPr="00B509BA">
        <w:rPr>
          <w:rFonts w:ascii="Verdana" w:hAnsi="Verdana"/>
          <w:sz w:val="20"/>
          <w:szCs w:val="20"/>
        </w:rPr>
        <w:t xml:space="preserve">This report offers comments on applicants addendum report based on Council’s original assessment report. </w:t>
      </w:r>
      <w:r w:rsidR="00694AA5" w:rsidRPr="00B509BA">
        <w:rPr>
          <w:rFonts w:ascii="Verdana" w:hAnsi="Verdana"/>
          <w:sz w:val="20"/>
          <w:szCs w:val="20"/>
        </w:rPr>
        <w:t>Applicant’s comments are copied in the shaded text box and Council’s comments are offered in the unshaded box next to it</w:t>
      </w:r>
      <w:r w:rsidR="00B509BA" w:rsidRPr="00B509BA">
        <w:rPr>
          <w:rFonts w:ascii="Verdana" w:hAnsi="Verdana"/>
          <w:sz w:val="20"/>
          <w:szCs w:val="20"/>
        </w:rPr>
        <w:t xml:space="preserve">. </w:t>
      </w:r>
    </w:p>
    <w:p w14:paraId="5DD1C219" w14:textId="77777777" w:rsidR="00CB229E" w:rsidRPr="007D508F" w:rsidRDefault="00CB229E" w:rsidP="00C706BC">
      <w:pPr>
        <w:rPr>
          <w:rFonts w:ascii="Verdana" w:hAnsi="Verdana"/>
          <w:b/>
          <w:bCs/>
          <w:sz w:val="20"/>
          <w:szCs w:val="20"/>
          <w:u w:val="single"/>
        </w:rPr>
      </w:pPr>
    </w:p>
    <w:tbl>
      <w:tblPr>
        <w:tblStyle w:val="TableGrid"/>
        <w:tblW w:w="0" w:type="auto"/>
        <w:tblLook w:val="04A0" w:firstRow="1" w:lastRow="0" w:firstColumn="1" w:lastColumn="0" w:noHBand="0" w:noVBand="1"/>
      </w:tblPr>
      <w:tblGrid>
        <w:gridCol w:w="9016"/>
      </w:tblGrid>
      <w:tr w:rsidR="005B3DBF" w:rsidRPr="007D508F" w14:paraId="3DAB9AE3" w14:textId="77777777" w:rsidTr="000C5292">
        <w:tc>
          <w:tcPr>
            <w:tcW w:w="9016" w:type="dxa"/>
            <w:shd w:val="clear" w:color="auto" w:fill="F2F2F2" w:themeFill="background1" w:themeFillShade="F2"/>
          </w:tcPr>
          <w:p w14:paraId="6F662BCF" w14:textId="6E5E3408" w:rsidR="005B3DBF" w:rsidRPr="007D508F" w:rsidRDefault="005B3DBF" w:rsidP="00C706BC">
            <w:pPr>
              <w:rPr>
                <w:rFonts w:ascii="Verdana" w:hAnsi="Verdana"/>
                <w:sz w:val="20"/>
                <w:szCs w:val="20"/>
              </w:rPr>
            </w:pPr>
            <w:r w:rsidRPr="007D508F">
              <w:rPr>
                <w:rFonts w:ascii="Verdana" w:hAnsi="Verdana"/>
                <w:i/>
                <w:iCs/>
                <w:sz w:val="20"/>
                <w:szCs w:val="20"/>
              </w:rPr>
              <w:t>1. This letter has been prepared by Higgins Planning as the Applicant for Development Application No. DA/642/2020 at 11-19 Frenchmans Road, Randwick to respond to the report prepared by Council to the Sydney East City Planning Panel (SECPP) due to be considered at the meeting scheduled on 2 December 2021. The purpose of this letter is to respond to matters raised in the Council assessment report and reasons for refusal, and request this information be forwarded to the SECPP prior to the meeting scheduled for 2 December 2021;</w:t>
            </w:r>
          </w:p>
        </w:tc>
      </w:tr>
      <w:tr w:rsidR="005B3DBF" w:rsidRPr="007D508F" w14:paraId="54F37DD2" w14:textId="77777777" w:rsidTr="00E91138">
        <w:tc>
          <w:tcPr>
            <w:tcW w:w="9016" w:type="dxa"/>
          </w:tcPr>
          <w:p w14:paraId="505F1942" w14:textId="1EBF4A14" w:rsidR="000C5292" w:rsidRDefault="000C5292" w:rsidP="00C706BC">
            <w:pPr>
              <w:rPr>
                <w:rFonts w:ascii="Verdana" w:hAnsi="Verdana"/>
                <w:sz w:val="20"/>
                <w:szCs w:val="20"/>
              </w:rPr>
            </w:pPr>
            <w:r>
              <w:rPr>
                <w:rFonts w:ascii="Verdana" w:hAnsi="Verdana"/>
                <w:sz w:val="20"/>
                <w:szCs w:val="20"/>
              </w:rPr>
              <w:t>Comment:</w:t>
            </w:r>
          </w:p>
          <w:p w14:paraId="53468F47" w14:textId="77DC1002" w:rsidR="005B3DBF" w:rsidRPr="007D508F" w:rsidRDefault="005B3DBF" w:rsidP="00C706BC">
            <w:pPr>
              <w:rPr>
                <w:rFonts w:ascii="Verdana" w:hAnsi="Verdana"/>
                <w:sz w:val="20"/>
                <w:szCs w:val="20"/>
              </w:rPr>
            </w:pPr>
            <w:r w:rsidRPr="007D508F">
              <w:rPr>
                <w:rFonts w:ascii="Verdana" w:hAnsi="Verdana"/>
                <w:sz w:val="20"/>
                <w:szCs w:val="20"/>
              </w:rPr>
              <w:t>Noted.</w:t>
            </w:r>
          </w:p>
        </w:tc>
      </w:tr>
      <w:tr w:rsidR="005B3DBF" w:rsidRPr="007D508F" w14:paraId="55012002" w14:textId="77777777" w:rsidTr="000C5292">
        <w:tc>
          <w:tcPr>
            <w:tcW w:w="9016" w:type="dxa"/>
            <w:shd w:val="clear" w:color="auto" w:fill="F2F2F2" w:themeFill="background1" w:themeFillShade="F2"/>
          </w:tcPr>
          <w:p w14:paraId="70E324A1" w14:textId="5BC33987" w:rsidR="005B3DBF" w:rsidRPr="007D508F" w:rsidRDefault="005B3DBF" w:rsidP="00C706BC">
            <w:pPr>
              <w:rPr>
                <w:rFonts w:ascii="Verdana" w:hAnsi="Verdana"/>
                <w:i/>
                <w:iCs/>
                <w:sz w:val="20"/>
                <w:szCs w:val="20"/>
              </w:rPr>
            </w:pPr>
            <w:r w:rsidRPr="007D508F">
              <w:rPr>
                <w:rFonts w:ascii="Verdana" w:hAnsi="Verdana"/>
                <w:i/>
                <w:iCs/>
                <w:sz w:val="20"/>
                <w:szCs w:val="20"/>
              </w:rPr>
              <w:t>2. The Council assessment report advises the proposal does not comply with Clauses 31, 33 and 34 of State Environmental Planning Policy (Housing for Seniors or People with a Disability) 2004 (Seniors Housing SEPP) based on impacts on adjoining properties, however no specific details as to what those impacts are and on which properties have been detailed in the report. The Development Application (DA) is accompanied by Amended Architectural Drawings, Statement of Environmental Effects (SEE), an Addendum SEE, Statement of Heritage Impact, an Updated Acoustic Report and Urban Design Peer Review which demonstrate: the proposal will not result in unacceptable shadow impacts on adjoining properties; will not result in an impact on the heritage significance of adjoining properties; will not result in the loss of views; will not result in unacceptable noise impacts; and if there is a concern with respect to privacy this could be mitigated by the introduction of privacy louvers to locations deemed to be problematic if this were identified to the Applicant;</w:t>
            </w:r>
          </w:p>
        </w:tc>
      </w:tr>
      <w:tr w:rsidR="005B3DBF" w:rsidRPr="007D508F" w14:paraId="5806A819" w14:textId="77777777" w:rsidTr="00AA6FFD">
        <w:tc>
          <w:tcPr>
            <w:tcW w:w="9016" w:type="dxa"/>
          </w:tcPr>
          <w:p w14:paraId="22BA6684" w14:textId="77777777" w:rsidR="003B5F5B" w:rsidRPr="007D508F" w:rsidRDefault="003B5F5B" w:rsidP="005B3DBF">
            <w:pPr>
              <w:rPr>
                <w:rFonts w:ascii="Verdana" w:hAnsi="Verdana"/>
                <w:sz w:val="20"/>
                <w:szCs w:val="20"/>
              </w:rPr>
            </w:pPr>
            <w:r w:rsidRPr="007D508F">
              <w:rPr>
                <w:rFonts w:ascii="Verdana" w:hAnsi="Verdana"/>
                <w:sz w:val="20"/>
                <w:szCs w:val="20"/>
              </w:rPr>
              <w:t>Comment:</w:t>
            </w:r>
          </w:p>
          <w:p w14:paraId="4E6E50D1" w14:textId="77777777" w:rsidR="00B41AFE" w:rsidRPr="007D508F" w:rsidRDefault="005B3DBF" w:rsidP="005B3DBF">
            <w:pPr>
              <w:rPr>
                <w:rFonts w:ascii="Verdana" w:hAnsi="Verdana"/>
                <w:sz w:val="20"/>
                <w:szCs w:val="20"/>
              </w:rPr>
            </w:pPr>
            <w:r w:rsidRPr="007D508F">
              <w:rPr>
                <w:rFonts w:ascii="Verdana" w:hAnsi="Verdana"/>
                <w:sz w:val="20"/>
                <w:szCs w:val="20"/>
              </w:rPr>
              <w:t xml:space="preserve">This issue of compliance with Clauses 31-34 (inclusive) of Senior’s Living SEPP is </w:t>
            </w:r>
            <w:r w:rsidR="008155CA" w:rsidRPr="007D508F">
              <w:rPr>
                <w:rFonts w:ascii="Verdana" w:hAnsi="Verdana"/>
                <w:sz w:val="20"/>
                <w:szCs w:val="20"/>
              </w:rPr>
              <w:t xml:space="preserve">specifically referred </w:t>
            </w:r>
            <w:r w:rsidRPr="007D508F">
              <w:rPr>
                <w:rFonts w:ascii="Verdana" w:hAnsi="Verdana"/>
                <w:sz w:val="20"/>
                <w:szCs w:val="20"/>
              </w:rPr>
              <w:t>on pages 13 and 14 of Council’s assessment report</w:t>
            </w:r>
            <w:r w:rsidR="00B41AFE" w:rsidRPr="007D508F">
              <w:rPr>
                <w:rFonts w:ascii="Verdana" w:hAnsi="Verdana"/>
                <w:sz w:val="20"/>
                <w:szCs w:val="20"/>
              </w:rPr>
              <w:t xml:space="preserve"> and in general throughout the report</w:t>
            </w:r>
            <w:r w:rsidRPr="007D508F">
              <w:rPr>
                <w:rFonts w:ascii="Verdana" w:hAnsi="Verdana"/>
                <w:sz w:val="20"/>
                <w:szCs w:val="20"/>
              </w:rPr>
              <w:t xml:space="preserve">.  </w:t>
            </w:r>
          </w:p>
          <w:p w14:paraId="0812BF48" w14:textId="77777777" w:rsidR="00C93C73" w:rsidRPr="007D508F" w:rsidRDefault="005B3DBF" w:rsidP="005B3DBF">
            <w:pPr>
              <w:rPr>
                <w:rFonts w:ascii="Verdana" w:hAnsi="Verdana"/>
                <w:color w:val="000000"/>
                <w:sz w:val="20"/>
                <w:szCs w:val="20"/>
                <w:shd w:val="clear" w:color="auto" w:fill="FFFFFF"/>
              </w:rPr>
            </w:pPr>
            <w:r w:rsidRPr="007D508F">
              <w:rPr>
                <w:rFonts w:ascii="Verdana" w:hAnsi="Verdana"/>
                <w:sz w:val="20"/>
                <w:szCs w:val="20"/>
              </w:rPr>
              <w:t xml:space="preserve">Clause 31 </w:t>
            </w:r>
            <w:r w:rsidR="00FA6790" w:rsidRPr="007D508F">
              <w:rPr>
                <w:rFonts w:ascii="Verdana" w:hAnsi="Verdana"/>
                <w:sz w:val="20"/>
                <w:szCs w:val="20"/>
              </w:rPr>
              <w:t xml:space="preserve">of Seniors Living SEPP </w:t>
            </w:r>
            <w:r w:rsidR="00025F38" w:rsidRPr="007D508F">
              <w:rPr>
                <w:rFonts w:ascii="Verdana" w:hAnsi="Verdana"/>
                <w:sz w:val="20"/>
                <w:szCs w:val="20"/>
              </w:rPr>
              <w:t>requires</w:t>
            </w:r>
            <w:r w:rsidR="00FA6790" w:rsidRPr="007D508F">
              <w:rPr>
                <w:rFonts w:ascii="Verdana" w:hAnsi="Verdana"/>
                <w:sz w:val="20"/>
                <w:szCs w:val="20"/>
              </w:rPr>
              <w:t xml:space="preserve"> </w:t>
            </w:r>
            <w:r w:rsidR="00B6454D" w:rsidRPr="007D508F">
              <w:rPr>
                <w:rFonts w:ascii="Verdana" w:hAnsi="Verdana"/>
                <w:sz w:val="20"/>
                <w:szCs w:val="20"/>
              </w:rPr>
              <w:t xml:space="preserve">consideration of </w:t>
            </w:r>
            <w:r w:rsidR="00025F38" w:rsidRPr="007D508F">
              <w:rPr>
                <w:rStyle w:val="frag-name"/>
                <w:rFonts w:ascii="Verdana" w:hAnsi="Verdana"/>
                <w:i/>
                <w:iCs/>
                <w:color w:val="000000"/>
                <w:sz w:val="20"/>
                <w:szCs w:val="20"/>
                <w:shd w:val="clear" w:color="auto" w:fill="FFFFFF"/>
              </w:rPr>
              <w:t>Seniors Living Policy: Urban Design Guideline for Infill Development</w:t>
            </w:r>
            <w:r w:rsidR="00F93473" w:rsidRPr="007D508F">
              <w:rPr>
                <w:rStyle w:val="frag-name"/>
                <w:rFonts w:ascii="Verdana" w:hAnsi="Verdana"/>
                <w:i/>
                <w:iCs/>
                <w:color w:val="000000"/>
                <w:sz w:val="20"/>
                <w:szCs w:val="20"/>
                <w:shd w:val="clear" w:color="auto" w:fill="FFFFFF"/>
              </w:rPr>
              <w:t xml:space="preserve">. </w:t>
            </w:r>
            <w:r w:rsidR="00025F38" w:rsidRPr="007D508F">
              <w:rPr>
                <w:rFonts w:ascii="Verdana" w:hAnsi="Verdana"/>
                <w:color w:val="000000"/>
                <w:sz w:val="20"/>
                <w:szCs w:val="20"/>
                <w:shd w:val="clear" w:color="auto" w:fill="FFFFFF"/>
              </w:rPr>
              <w:t> </w:t>
            </w:r>
            <w:r w:rsidR="001B31AE" w:rsidRPr="007D508F">
              <w:rPr>
                <w:rFonts w:ascii="Verdana" w:hAnsi="Verdana"/>
                <w:color w:val="000000"/>
                <w:sz w:val="20"/>
                <w:szCs w:val="20"/>
                <w:shd w:val="clear" w:color="auto" w:fill="FFFFFF"/>
              </w:rPr>
              <w:t xml:space="preserve">Part 4 of this Guidelines </w:t>
            </w:r>
            <w:r w:rsidR="00C93C73" w:rsidRPr="007D508F">
              <w:rPr>
                <w:rFonts w:ascii="Verdana" w:hAnsi="Verdana"/>
                <w:color w:val="000000"/>
                <w:sz w:val="20"/>
                <w:szCs w:val="20"/>
                <w:shd w:val="clear" w:color="auto" w:fill="FFFFFF"/>
              </w:rPr>
              <w:t>provides Design Principles and Better Practice and inter alia states:</w:t>
            </w:r>
          </w:p>
          <w:p w14:paraId="1E247675" w14:textId="527883B2" w:rsidR="00C93C73" w:rsidRPr="007D508F" w:rsidRDefault="000B4B0C" w:rsidP="00F97EE2">
            <w:pPr>
              <w:jc w:val="center"/>
              <w:rPr>
                <w:rFonts w:ascii="Verdana" w:hAnsi="Verdana"/>
                <w:sz w:val="20"/>
                <w:szCs w:val="20"/>
              </w:rPr>
            </w:pPr>
            <w:r w:rsidRPr="007D508F">
              <w:rPr>
                <w:rFonts w:ascii="Verdana" w:hAnsi="Verdana"/>
                <w:noProof/>
                <w:sz w:val="20"/>
                <w:szCs w:val="20"/>
              </w:rPr>
              <w:lastRenderedPageBreak/>
              <w:drawing>
                <wp:inline distT="0" distB="0" distL="0" distR="0" wp14:anchorId="74612525" wp14:editId="7C0A5BF6">
                  <wp:extent cx="4799279" cy="22160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1489" cy="2226290"/>
                          </a:xfrm>
                          <a:prstGeom prst="rect">
                            <a:avLst/>
                          </a:prstGeom>
                        </pic:spPr>
                      </pic:pic>
                    </a:graphicData>
                  </a:graphic>
                </wp:inline>
              </w:drawing>
            </w:r>
          </w:p>
          <w:p w14:paraId="61820BA0" w14:textId="561C7BED" w:rsidR="00A00B63" w:rsidRPr="007D508F" w:rsidRDefault="00A00B63" w:rsidP="00A00B63">
            <w:pPr>
              <w:rPr>
                <w:rFonts w:ascii="Verdana" w:hAnsi="Verdana"/>
                <w:sz w:val="20"/>
                <w:szCs w:val="20"/>
              </w:rPr>
            </w:pPr>
            <w:r w:rsidRPr="007D508F">
              <w:rPr>
                <w:rFonts w:ascii="Verdana" w:hAnsi="Verdana"/>
                <w:sz w:val="20"/>
                <w:szCs w:val="20"/>
              </w:rPr>
              <w:t xml:space="preserve">The existing residential character is </w:t>
            </w:r>
            <w:r w:rsidR="0072495B" w:rsidRPr="007D508F">
              <w:rPr>
                <w:rFonts w:ascii="Verdana" w:hAnsi="Verdana"/>
                <w:sz w:val="20"/>
                <w:szCs w:val="20"/>
              </w:rPr>
              <w:t xml:space="preserve">predominately </w:t>
            </w:r>
            <w:r w:rsidRPr="007D508F">
              <w:rPr>
                <w:rFonts w:ascii="Verdana" w:hAnsi="Verdana"/>
                <w:sz w:val="20"/>
                <w:szCs w:val="20"/>
              </w:rPr>
              <w:t>single and two storey dwelling houses</w:t>
            </w:r>
            <w:r w:rsidR="00115791" w:rsidRPr="007D508F">
              <w:rPr>
                <w:rFonts w:ascii="Verdana" w:hAnsi="Verdana"/>
                <w:sz w:val="20"/>
                <w:szCs w:val="20"/>
              </w:rPr>
              <w:t xml:space="preserve">. </w:t>
            </w:r>
            <w:r w:rsidR="00445869" w:rsidRPr="007D508F">
              <w:rPr>
                <w:rFonts w:ascii="Verdana" w:hAnsi="Verdana"/>
                <w:sz w:val="20"/>
                <w:szCs w:val="20"/>
              </w:rPr>
              <w:t xml:space="preserve">The proposal with 4 storey built form, non complying side setbacks, </w:t>
            </w:r>
            <w:r w:rsidR="00A07453" w:rsidRPr="007D508F">
              <w:rPr>
                <w:rFonts w:ascii="Verdana" w:hAnsi="Verdana"/>
                <w:sz w:val="20"/>
                <w:szCs w:val="20"/>
              </w:rPr>
              <w:t xml:space="preserve">non complying </w:t>
            </w:r>
            <w:r w:rsidR="00445869" w:rsidRPr="007D508F">
              <w:rPr>
                <w:rFonts w:ascii="Verdana" w:hAnsi="Verdana"/>
                <w:sz w:val="20"/>
                <w:szCs w:val="20"/>
              </w:rPr>
              <w:t>external wall height</w:t>
            </w:r>
            <w:r w:rsidR="00720008" w:rsidRPr="007D508F">
              <w:rPr>
                <w:rFonts w:ascii="Verdana" w:hAnsi="Verdana"/>
                <w:sz w:val="20"/>
                <w:szCs w:val="20"/>
              </w:rPr>
              <w:t xml:space="preserve">, </w:t>
            </w:r>
            <w:r w:rsidR="00C033F7" w:rsidRPr="007D508F">
              <w:rPr>
                <w:rFonts w:ascii="Verdana" w:hAnsi="Verdana"/>
                <w:sz w:val="20"/>
                <w:szCs w:val="20"/>
              </w:rPr>
              <w:t>non complying</w:t>
            </w:r>
            <w:r w:rsidR="001B6DAA" w:rsidRPr="007D508F">
              <w:rPr>
                <w:rFonts w:ascii="Verdana" w:hAnsi="Verdana"/>
                <w:sz w:val="20"/>
                <w:szCs w:val="20"/>
              </w:rPr>
              <w:t xml:space="preserve"> height, </w:t>
            </w:r>
            <w:r w:rsidR="00720008" w:rsidRPr="007D508F">
              <w:rPr>
                <w:rFonts w:ascii="Verdana" w:hAnsi="Verdana"/>
                <w:sz w:val="20"/>
                <w:szCs w:val="20"/>
              </w:rPr>
              <w:t>excessive FSR and inadequate landscaping along the side boundaries i</w:t>
            </w:r>
            <w:r w:rsidR="00A07453" w:rsidRPr="007D508F">
              <w:rPr>
                <w:rFonts w:ascii="Verdana" w:hAnsi="Verdana"/>
                <w:sz w:val="20"/>
                <w:szCs w:val="20"/>
              </w:rPr>
              <w:t>s</w:t>
            </w:r>
            <w:r w:rsidR="00720008" w:rsidRPr="007D508F">
              <w:rPr>
                <w:rFonts w:ascii="Verdana" w:hAnsi="Verdana"/>
                <w:sz w:val="20"/>
                <w:szCs w:val="20"/>
              </w:rPr>
              <w:t xml:space="preserve"> offering an incompatible </w:t>
            </w:r>
            <w:r w:rsidR="00A07453" w:rsidRPr="007D508F">
              <w:rPr>
                <w:rFonts w:ascii="Verdana" w:hAnsi="Verdana"/>
                <w:sz w:val="20"/>
                <w:szCs w:val="20"/>
              </w:rPr>
              <w:t>built form</w:t>
            </w:r>
            <w:r w:rsidR="00365472" w:rsidRPr="007D508F">
              <w:rPr>
                <w:rFonts w:ascii="Verdana" w:hAnsi="Verdana"/>
                <w:sz w:val="20"/>
                <w:szCs w:val="20"/>
              </w:rPr>
              <w:t xml:space="preserve">. </w:t>
            </w:r>
          </w:p>
          <w:p w14:paraId="03D31575" w14:textId="77777777" w:rsidR="005B3DBF" w:rsidRPr="007D508F" w:rsidRDefault="00A452C2" w:rsidP="00A452C2">
            <w:pPr>
              <w:jc w:val="center"/>
              <w:rPr>
                <w:rFonts w:ascii="Verdana" w:hAnsi="Verdana"/>
                <w:sz w:val="20"/>
                <w:szCs w:val="20"/>
              </w:rPr>
            </w:pPr>
            <w:r w:rsidRPr="007D508F">
              <w:rPr>
                <w:rFonts w:ascii="Verdana" w:hAnsi="Verdana"/>
                <w:noProof/>
                <w:sz w:val="20"/>
                <w:szCs w:val="20"/>
              </w:rPr>
              <w:drawing>
                <wp:inline distT="0" distB="0" distL="0" distR="0" wp14:anchorId="7BE5AE39" wp14:editId="1A135187">
                  <wp:extent cx="4994844" cy="135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7229" cy="1362270"/>
                          </a:xfrm>
                          <a:prstGeom prst="rect">
                            <a:avLst/>
                          </a:prstGeom>
                        </pic:spPr>
                      </pic:pic>
                    </a:graphicData>
                  </a:graphic>
                </wp:inline>
              </w:drawing>
            </w:r>
          </w:p>
          <w:p w14:paraId="3757A942" w14:textId="77777777" w:rsidR="00A452C2" w:rsidRPr="007D508F" w:rsidRDefault="00577156" w:rsidP="00A452C2">
            <w:pPr>
              <w:rPr>
                <w:rFonts w:ascii="Verdana" w:hAnsi="Verdana"/>
                <w:sz w:val="20"/>
                <w:szCs w:val="20"/>
              </w:rPr>
            </w:pPr>
            <w:r w:rsidRPr="007D508F">
              <w:rPr>
                <w:rFonts w:ascii="Verdana" w:hAnsi="Verdana"/>
                <w:sz w:val="20"/>
                <w:szCs w:val="20"/>
              </w:rPr>
              <w:t>Proposed terraces and</w:t>
            </w:r>
            <w:r w:rsidR="00423C21" w:rsidRPr="007D508F">
              <w:rPr>
                <w:rFonts w:ascii="Verdana" w:hAnsi="Verdana"/>
                <w:sz w:val="20"/>
                <w:szCs w:val="20"/>
              </w:rPr>
              <w:t xml:space="preserve"> windows of habitable rooms </w:t>
            </w:r>
            <w:r w:rsidRPr="007D508F">
              <w:rPr>
                <w:rFonts w:ascii="Verdana" w:hAnsi="Verdana"/>
                <w:sz w:val="20"/>
                <w:szCs w:val="20"/>
              </w:rPr>
              <w:t xml:space="preserve">will offer overlooking </w:t>
            </w:r>
            <w:r w:rsidR="00C8708A" w:rsidRPr="007D508F">
              <w:rPr>
                <w:rFonts w:ascii="Verdana" w:hAnsi="Verdana"/>
                <w:sz w:val="20"/>
                <w:szCs w:val="20"/>
              </w:rPr>
              <w:t xml:space="preserve">into adjoining properties. This impact is exacerbated due to inadequate building separation. </w:t>
            </w:r>
          </w:p>
          <w:p w14:paraId="6E468419" w14:textId="77777777" w:rsidR="00C8708A" w:rsidRPr="007D508F" w:rsidRDefault="006353EC" w:rsidP="00A452C2">
            <w:pPr>
              <w:rPr>
                <w:rFonts w:ascii="Verdana" w:hAnsi="Verdana"/>
                <w:sz w:val="20"/>
                <w:szCs w:val="20"/>
              </w:rPr>
            </w:pPr>
            <w:r w:rsidRPr="007D508F">
              <w:rPr>
                <w:rFonts w:ascii="Verdana" w:hAnsi="Verdana"/>
                <w:sz w:val="20"/>
                <w:szCs w:val="20"/>
              </w:rPr>
              <w:t>Clause 32 of the Seniors Living SEPP states:</w:t>
            </w:r>
          </w:p>
          <w:p w14:paraId="70355A27" w14:textId="77777777" w:rsidR="006353EC" w:rsidRPr="007D508F" w:rsidRDefault="000F307B" w:rsidP="00A452C2">
            <w:pPr>
              <w:rPr>
                <w:rFonts w:ascii="Verdana" w:hAnsi="Verdana"/>
                <w:i/>
                <w:iCs/>
                <w:sz w:val="20"/>
                <w:szCs w:val="20"/>
              </w:rPr>
            </w:pPr>
            <w:r w:rsidRPr="007D508F">
              <w:rPr>
                <w:rFonts w:ascii="Verdana" w:hAnsi="Verdana"/>
                <w:i/>
                <w:iCs/>
                <w:sz w:val="20"/>
                <w:szCs w:val="20"/>
              </w:rPr>
              <w:t>A consent authority must not consent to a development application made pursuant to this Chapter unless the consent authority is satisfied that the proposed development demonstrates that adequate regard has been given to the principles set out in Division 2.</w:t>
            </w:r>
          </w:p>
          <w:p w14:paraId="101E083C" w14:textId="77777777" w:rsidR="000F307B" w:rsidRPr="007D508F" w:rsidRDefault="00E739CE" w:rsidP="00A452C2">
            <w:pPr>
              <w:rPr>
                <w:rFonts w:ascii="Verdana" w:hAnsi="Verdana"/>
                <w:sz w:val="20"/>
                <w:szCs w:val="20"/>
              </w:rPr>
            </w:pPr>
            <w:r w:rsidRPr="007D508F">
              <w:rPr>
                <w:rFonts w:ascii="Verdana" w:hAnsi="Verdana"/>
                <w:sz w:val="20"/>
                <w:szCs w:val="20"/>
              </w:rPr>
              <w:t xml:space="preserve">Clause 33 </w:t>
            </w:r>
            <w:r w:rsidR="00A64BFB" w:rsidRPr="007D508F">
              <w:rPr>
                <w:rFonts w:ascii="Verdana" w:hAnsi="Verdana"/>
                <w:sz w:val="20"/>
                <w:szCs w:val="20"/>
              </w:rPr>
              <w:t>under Division 2 inter alia states:</w:t>
            </w:r>
          </w:p>
          <w:p w14:paraId="54ED59A1" w14:textId="77777777" w:rsidR="00AB5CAC" w:rsidRPr="00AB5CAC" w:rsidRDefault="00AB5CAC" w:rsidP="00AB5CAC">
            <w:pPr>
              <w:spacing w:before="0" w:line="240" w:lineRule="auto"/>
              <w:ind w:left="720"/>
              <w:rPr>
                <w:rFonts w:ascii="Verdana" w:eastAsia="Times New Roman" w:hAnsi="Verdana" w:cs="Times New Roman"/>
                <w:i/>
                <w:iCs/>
                <w:color w:val="auto"/>
                <w:sz w:val="20"/>
                <w:szCs w:val="20"/>
                <w:lang w:eastAsia="en-AU"/>
              </w:rPr>
            </w:pPr>
            <w:r w:rsidRPr="00AB5CAC">
              <w:rPr>
                <w:rFonts w:ascii="Verdana" w:eastAsia="Times New Roman" w:hAnsi="Verdana" w:cs="Times New Roman"/>
                <w:i/>
                <w:iCs/>
                <w:color w:val="000000"/>
                <w:sz w:val="20"/>
                <w:szCs w:val="20"/>
                <w:shd w:val="clear" w:color="auto" w:fill="FFFFFF"/>
                <w:lang w:eastAsia="en-AU"/>
              </w:rPr>
              <w:t>The proposed development should—</w:t>
            </w:r>
          </w:p>
          <w:p w14:paraId="30945553" w14:textId="77777777" w:rsidR="00AB5CAC" w:rsidRPr="00AB5CAC" w:rsidRDefault="00AB5CAC" w:rsidP="00AB5CAC">
            <w:pPr>
              <w:shd w:val="clear" w:color="auto" w:fill="FFFFFF"/>
              <w:spacing w:line="240" w:lineRule="auto"/>
              <w:ind w:left="720" w:hanging="400"/>
              <w:rPr>
                <w:rFonts w:ascii="Verdana" w:eastAsia="Times New Roman" w:hAnsi="Verdana" w:cs="Times New Roman"/>
                <w:i/>
                <w:iCs/>
                <w:color w:val="000000"/>
                <w:sz w:val="20"/>
                <w:szCs w:val="20"/>
                <w:lang w:eastAsia="en-AU"/>
              </w:rPr>
            </w:pPr>
            <w:r w:rsidRPr="00AB5CAC">
              <w:rPr>
                <w:rFonts w:ascii="Verdana" w:eastAsia="Times New Roman" w:hAnsi="Verdana" w:cs="Times New Roman"/>
                <w:i/>
                <w:iCs/>
                <w:color w:val="000000"/>
                <w:sz w:val="20"/>
                <w:szCs w:val="20"/>
                <w:lang w:eastAsia="en-AU"/>
              </w:rPr>
              <w:t>(a)  recognise the desirable elements of the location’s current character (or, in the case of precincts undergoing a transition, where described in local planning controls, the desired future character) so that new buildings contribute to the quality and identity of the area, and</w:t>
            </w:r>
          </w:p>
          <w:p w14:paraId="459A10D7" w14:textId="77777777" w:rsidR="00AB5CAC" w:rsidRPr="00AB5CAC" w:rsidRDefault="00AB5CAC" w:rsidP="00AB5CAC">
            <w:pPr>
              <w:shd w:val="clear" w:color="auto" w:fill="FFFFFF"/>
              <w:spacing w:line="240" w:lineRule="auto"/>
              <w:ind w:left="720" w:hanging="400"/>
              <w:rPr>
                <w:rFonts w:ascii="Verdana" w:eastAsia="Times New Roman" w:hAnsi="Verdana" w:cs="Times New Roman"/>
                <w:i/>
                <w:iCs/>
                <w:color w:val="000000"/>
                <w:sz w:val="20"/>
                <w:szCs w:val="20"/>
                <w:lang w:eastAsia="en-AU"/>
              </w:rPr>
            </w:pPr>
            <w:r w:rsidRPr="00AB5CAC">
              <w:rPr>
                <w:rFonts w:ascii="Verdana" w:eastAsia="Times New Roman" w:hAnsi="Verdana" w:cs="Times New Roman"/>
                <w:i/>
                <w:iCs/>
                <w:color w:val="000000"/>
                <w:sz w:val="20"/>
                <w:szCs w:val="20"/>
                <w:lang w:eastAsia="en-AU"/>
              </w:rPr>
              <w:t>(b)  retain, complement and sensitively harmonise with any heritage conservation areas in the vicinity and any relevant heritage items that are identified in a local environmental plan, and</w:t>
            </w:r>
          </w:p>
          <w:p w14:paraId="4284F115" w14:textId="77777777" w:rsidR="00AB5CAC" w:rsidRPr="00AB5CAC" w:rsidRDefault="00AB5CAC" w:rsidP="00AB5CAC">
            <w:pPr>
              <w:shd w:val="clear" w:color="auto" w:fill="FFFFFF"/>
              <w:spacing w:line="240" w:lineRule="auto"/>
              <w:ind w:left="720" w:hanging="400"/>
              <w:rPr>
                <w:rFonts w:ascii="Verdana" w:eastAsia="Times New Roman" w:hAnsi="Verdana" w:cs="Times New Roman"/>
                <w:i/>
                <w:iCs/>
                <w:color w:val="000000"/>
                <w:sz w:val="20"/>
                <w:szCs w:val="20"/>
                <w:lang w:eastAsia="en-AU"/>
              </w:rPr>
            </w:pPr>
            <w:r w:rsidRPr="00AB5CAC">
              <w:rPr>
                <w:rFonts w:ascii="Verdana" w:eastAsia="Times New Roman" w:hAnsi="Verdana" w:cs="Times New Roman"/>
                <w:i/>
                <w:iCs/>
                <w:color w:val="000000"/>
                <w:sz w:val="20"/>
                <w:szCs w:val="20"/>
                <w:lang w:eastAsia="en-AU"/>
              </w:rPr>
              <w:t>(c)  maintain reasonable neighbourhood amenity and appropriate residential character by—</w:t>
            </w:r>
          </w:p>
          <w:p w14:paraId="01217877" w14:textId="77777777" w:rsidR="00AB5CAC" w:rsidRPr="00AB5CAC" w:rsidRDefault="00AB5CAC" w:rsidP="00AB5CAC">
            <w:pPr>
              <w:shd w:val="clear" w:color="auto" w:fill="FFFFFF"/>
              <w:spacing w:line="240" w:lineRule="auto"/>
              <w:ind w:left="720" w:hanging="400"/>
              <w:rPr>
                <w:rFonts w:ascii="Verdana" w:eastAsia="Times New Roman" w:hAnsi="Verdana" w:cs="Times New Roman"/>
                <w:i/>
                <w:iCs/>
                <w:color w:val="000000"/>
                <w:sz w:val="20"/>
                <w:szCs w:val="20"/>
                <w:lang w:eastAsia="en-AU"/>
              </w:rPr>
            </w:pPr>
            <w:r w:rsidRPr="00AB5CAC">
              <w:rPr>
                <w:rFonts w:ascii="Verdana" w:eastAsia="Times New Roman" w:hAnsi="Verdana" w:cs="Times New Roman"/>
                <w:i/>
                <w:iCs/>
                <w:color w:val="000000"/>
                <w:sz w:val="20"/>
                <w:szCs w:val="20"/>
                <w:lang w:eastAsia="en-AU"/>
              </w:rPr>
              <w:t>(i)  providing building setbacks to reduce bulk and overshadowing, and</w:t>
            </w:r>
          </w:p>
          <w:p w14:paraId="7C172BCB" w14:textId="77777777" w:rsidR="00AB5CAC" w:rsidRPr="00AB5CAC" w:rsidRDefault="00AB5CAC" w:rsidP="00AB5CAC">
            <w:pPr>
              <w:shd w:val="clear" w:color="auto" w:fill="FFFFFF"/>
              <w:spacing w:line="240" w:lineRule="auto"/>
              <w:ind w:left="720" w:hanging="400"/>
              <w:rPr>
                <w:rFonts w:ascii="Verdana" w:eastAsia="Times New Roman" w:hAnsi="Verdana" w:cs="Times New Roman"/>
                <w:i/>
                <w:iCs/>
                <w:color w:val="000000"/>
                <w:sz w:val="20"/>
                <w:szCs w:val="20"/>
                <w:lang w:eastAsia="en-AU"/>
              </w:rPr>
            </w:pPr>
            <w:r w:rsidRPr="00AB5CAC">
              <w:rPr>
                <w:rFonts w:ascii="Verdana" w:eastAsia="Times New Roman" w:hAnsi="Verdana" w:cs="Times New Roman"/>
                <w:i/>
                <w:iCs/>
                <w:color w:val="000000"/>
                <w:sz w:val="20"/>
                <w:szCs w:val="20"/>
                <w:lang w:eastAsia="en-AU"/>
              </w:rPr>
              <w:t>(ii)  using building form and siting that relates to the site’s land form, and</w:t>
            </w:r>
          </w:p>
          <w:p w14:paraId="1FF7FE4A" w14:textId="77777777" w:rsidR="00AB5CAC" w:rsidRPr="00AB5CAC" w:rsidRDefault="00AB5CAC" w:rsidP="00AB5CAC">
            <w:pPr>
              <w:shd w:val="clear" w:color="auto" w:fill="FFFFFF"/>
              <w:spacing w:line="240" w:lineRule="auto"/>
              <w:ind w:left="720" w:hanging="400"/>
              <w:rPr>
                <w:rFonts w:ascii="Verdana" w:eastAsia="Times New Roman" w:hAnsi="Verdana" w:cs="Times New Roman"/>
                <w:i/>
                <w:iCs/>
                <w:color w:val="000000"/>
                <w:sz w:val="20"/>
                <w:szCs w:val="20"/>
                <w:lang w:eastAsia="en-AU"/>
              </w:rPr>
            </w:pPr>
            <w:r w:rsidRPr="00AB5CAC">
              <w:rPr>
                <w:rFonts w:ascii="Verdana" w:eastAsia="Times New Roman" w:hAnsi="Verdana" w:cs="Times New Roman"/>
                <w:i/>
                <w:iCs/>
                <w:color w:val="000000"/>
                <w:sz w:val="20"/>
                <w:szCs w:val="20"/>
                <w:lang w:eastAsia="en-AU"/>
              </w:rPr>
              <w:t>(iii)  adopting building heights at the street frontage that are compatible in scale with adjacent development, and</w:t>
            </w:r>
          </w:p>
          <w:p w14:paraId="07E31F59" w14:textId="77777777" w:rsidR="00AB5CAC" w:rsidRPr="00AB5CAC" w:rsidRDefault="00AB5CAC" w:rsidP="00AB5CAC">
            <w:pPr>
              <w:shd w:val="clear" w:color="auto" w:fill="FFFFFF"/>
              <w:spacing w:line="240" w:lineRule="auto"/>
              <w:ind w:left="720" w:hanging="400"/>
              <w:rPr>
                <w:rFonts w:ascii="Verdana" w:eastAsia="Times New Roman" w:hAnsi="Verdana" w:cs="Times New Roman"/>
                <w:i/>
                <w:iCs/>
                <w:color w:val="000000"/>
                <w:sz w:val="20"/>
                <w:szCs w:val="20"/>
                <w:lang w:eastAsia="en-AU"/>
              </w:rPr>
            </w:pPr>
            <w:r w:rsidRPr="00AB5CAC">
              <w:rPr>
                <w:rFonts w:ascii="Verdana" w:eastAsia="Times New Roman" w:hAnsi="Verdana" w:cs="Times New Roman"/>
                <w:i/>
                <w:iCs/>
                <w:color w:val="000000"/>
                <w:sz w:val="20"/>
                <w:szCs w:val="20"/>
                <w:lang w:eastAsia="en-AU"/>
              </w:rPr>
              <w:lastRenderedPageBreak/>
              <w:t>(iv)  considering, where buildings are located on the boundary, the impact of the boundary walls on neighbours, and</w:t>
            </w:r>
          </w:p>
          <w:p w14:paraId="100B2083" w14:textId="2E1DBDAE" w:rsidR="00E01B2B" w:rsidRPr="007D508F" w:rsidRDefault="0001664B" w:rsidP="00E01B2B">
            <w:pPr>
              <w:rPr>
                <w:rFonts w:ascii="Verdana" w:hAnsi="Verdana"/>
                <w:sz w:val="20"/>
                <w:szCs w:val="20"/>
              </w:rPr>
            </w:pPr>
            <w:r w:rsidRPr="007D508F">
              <w:rPr>
                <w:rFonts w:ascii="Verdana" w:hAnsi="Verdana"/>
                <w:sz w:val="20"/>
                <w:szCs w:val="20"/>
              </w:rPr>
              <w:t>A</w:t>
            </w:r>
            <w:r w:rsidR="00E01B2B" w:rsidRPr="007D508F">
              <w:rPr>
                <w:rFonts w:ascii="Verdana" w:hAnsi="Verdana"/>
                <w:sz w:val="20"/>
                <w:szCs w:val="20"/>
              </w:rPr>
              <w:t>pplicant</w:t>
            </w:r>
            <w:r w:rsidRPr="007D508F">
              <w:rPr>
                <w:rFonts w:ascii="Verdana" w:hAnsi="Verdana"/>
                <w:sz w:val="20"/>
                <w:szCs w:val="20"/>
              </w:rPr>
              <w:t>’s</w:t>
            </w:r>
            <w:r w:rsidR="00E01B2B" w:rsidRPr="007D508F">
              <w:rPr>
                <w:rFonts w:ascii="Verdana" w:hAnsi="Verdana"/>
                <w:sz w:val="20"/>
                <w:szCs w:val="20"/>
              </w:rPr>
              <w:t xml:space="preserve"> offer to provide privacy screens to the areas that will offer overlooking</w:t>
            </w:r>
            <w:r w:rsidRPr="007D508F">
              <w:rPr>
                <w:rFonts w:ascii="Verdana" w:hAnsi="Verdana"/>
                <w:sz w:val="20"/>
                <w:szCs w:val="20"/>
              </w:rPr>
              <w:t xml:space="preserve"> is </w:t>
            </w:r>
            <w:r w:rsidR="00E01B2B" w:rsidRPr="007D508F">
              <w:rPr>
                <w:rFonts w:ascii="Verdana" w:hAnsi="Verdana"/>
                <w:sz w:val="20"/>
                <w:szCs w:val="20"/>
              </w:rPr>
              <w:t xml:space="preserve">not considered a suitable arrangement as these rooms will be occupied by senior citizens who at times may be confined to their rooms for long periods and as such privacy screens will offer poor internal amenity for those residents. </w:t>
            </w:r>
          </w:p>
          <w:p w14:paraId="57DB97E5" w14:textId="232F2840" w:rsidR="006A1FAB" w:rsidRPr="007D508F" w:rsidRDefault="0024507A" w:rsidP="00A452C2">
            <w:pPr>
              <w:rPr>
                <w:rFonts w:ascii="Verdana" w:hAnsi="Verdana"/>
                <w:sz w:val="20"/>
                <w:szCs w:val="20"/>
              </w:rPr>
            </w:pPr>
            <w:r w:rsidRPr="007D508F">
              <w:rPr>
                <w:rFonts w:ascii="Verdana" w:hAnsi="Verdana"/>
                <w:sz w:val="20"/>
                <w:szCs w:val="20"/>
              </w:rPr>
              <w:t>Further, the</w:t>
            </w:r>
            <w:r w:rsidR="00796DF4" w:rsidRPr="007D508F">
              <w:rPr>
                <w:rFonts w:ascii="Verdana" w:hAnsi="Verdana"/>
                <w:sz w:val="20"/>
                <w:szCs w:val="20"/>
              </w:rPr>
              <w:t xml:space="preserve"> precinct is not undergoing transition</w:t>
            </w:r>
            <w:r w:rsidR="00D019E4" w:rsidRPr="007D508F">
              <w:rPr>
                <w:rFonts w:ascii="Verdana" w:hAnsi="Verdana"/>
                <w:sz w:val="20"/>
                <w:szCs w:val="20"/>
              </w:rPr>
              <w:t xml:space="preserve"> and the proposal is in contrast to the current </w:t>
            </w:r>
            <w:r w:rsidR="00E308C3" w:rsidRPr="007D508F">
              <w:rPr>
                <w:rFonts w:ascii="Verdana" w:hAnsi="Verdana"/>
                <w:sz w:val="20"/>
                <w:szCs w:val="20"/>
              </w:rPr>
              <w:t>single and tow storey</w:t>
            </w:r>
            <w:r w:rsidR="00D019E4" w:rsidRPr="007D508F">
              <w:rPr>
                <w:rFonts w:ascii="Verdana" w:hAnsi="Verdana"/>
                <w:sz w:val="20"/>
                <w:szCs w:val="20"/>
              </w:rPr>
              <w:t xml:space="preserve"> residential character of the area. </w:t>
            </w:r>
          </w:p>
          <w:p w14:paraId="641D6DB5" w14:textId="1D436A9C" w:rsidR="005F5F80" w:rsidRPr="007D508F" w:rsidRDefault="005F5F80" w:rsidP="00A452C2">
            <w:pPr>
              <w:rPr>
                <w:rFonts w:ascii="Verdana" w:hAnsi="Verdana"/>
                <w:sz w:val="20"/>
                <w:szCs w:val="20"/>
              </w:rPr>
            </w:pPr>
            <w:r w:rsidRPr="007D508F">
              <w:rPr>
                <w:rFonts w:ascii="Verdana" w:hAnsi="Verdana"/>
                <w:sz w:val="20"/>
                <w:szCs w:val="20"/>
              </w:rPr>
              <w:t>Clause 3</w:t>
            </w:r>
            <w:r w:rsidR="00D63E25" w:rsidRPr="007D508F">
              <w:rPr>
                <w:rFonts w:ascii="Verdana" w:hAnsi="Verdana"/>
                <w:sz w:val="20"/>
                <w:szCs w:val="20"/>
              </w:rPr>
              <w:t xml:space="preserve">4 requires consideration of acoustic and visual privacy of the adjoining neighbours. As discussed, the building due to its proximity with adjoining buildings will </w:t>
            </w:r>
            <w:r w:rsidR="00474D65" w:rsidRPr="007D508F">
              <w:rPr>
                <w:rFonts w:ascii="Verdana" w:hAnsi="Verdana"/>
                <w:sz w:val="20"/>
                <w:szCs w:val="20"/>
              </w:rPr>
              <w:t xml:space="preserve">impact on the acoustic and visual privacy of adjoining neighbours. </w:t>
            </w:r>
            <w:r w:rsidR="00B62181" w:rsidRPr="007D508F">
              <w:rPr>
                <w:rFonts w:ascii="Verdana" w:hAnsi="Verdana"/>
                <w:sz w:val="20"/>
                <w:szCs w:val="20"/>
              </w:rPr>
              <w:t xml:space="preserve"> </w:t>
            </w:r>
          </w:p>
        </w:tc>
      </w:tr>
      <w:tr w:rsidR="00A20DDC" w:rsidRPr="007D508F" w14:paraId="0A407CFD" w14:textId="77777777" w:rsidTr="000C5292">
        <w:tc>
          <w:tcPr>
            <w:tcW w:w="9016" w:type="dxa"/>
            <w:shd w:val="clear" w:color="auto" w:fill="F2F2F2" w:themeFill="background1" w:themeFillShade="F2"/>
          </w:tcPr>
          <w:p w14:paraId="58D54EE5" w14:textId="4CF6282B" w:rsidR="00A20DDC" w:rsidRPr="007D508F" w:rsidRDefault="00A20DDC" w:rsidP="00C706BC">
            <w:pPr>
              <w:rPr>
                <w:rFonts w:ascii="Verdana" w:hAnsi="Verdana"/>
                <w:sz w:val="20"/>
                <w:szCs w:val="20"/>
              </w:rPr>
            </w:pPr>
            <w:r w:rsidRPr="007D508F">
              <w:rPr>
                <w:rFonts w:ascii="Verdana" w:hAnsi="Verdana"/>
                <w:i/>
                <w:iCs/>
                <w:sz w:val="20"/>
                <w:szCs w:val="20"/>
              </w:rPr>
              <w:lastRenderedPageBreak/>
              <w:t>3. The DA is submitted as a “vertical village” pursuant to the provisions of Clause 45 of the Seniors Housing SEPP, and it has already been determined by the SECPP that a Site Compatibility Certificate (SCC) cannot be issued by the SECPP at their meeting held on 10 November 2021;</w:t>
            </w:r>
          </w:p>
        </w:tc>
      </w:tr>
      <w:tr w:rsidR="00A20DDC" w:rsidRPr="007D508F" w14:paraId="6EC6CE3D" w14:textId="77777777" w:rsidTr="00B04215">
        <w:tc>
          <w:tcPr>
            <w:tcW w:w="9016" w:type="dxa"/>
          </w:tcPr>
          <w:p w14:paraId="6730874D" w14:textId="710AF3E1" w:rsidR="00A20DDC" w:rsidRPr="007D508F" w:rsidRDefault="000545F3" w:rsidP="00C706BC">
            <w:pPr>
              <w:rPr>
                <w:rFonts w:ascii="Verdana" w:hAnsi="Verdana"/>
                <w:sz w:val="20"/>
                <w:szCs w:val="20"/>
              </w:rPr>
            </w:pPr>
            <w:r w:rsidRPr="007D508F">
              <w:rPr>
                <w:rFonts w:ascii="Verdana" w:hAnsi="Verdana"/>
                <w:sz w:val="20"/>
                <w:szCs w:val="20"/>
              </w:rPr>
              <w:t>Comment</w:t>
            </w:r>
            <w:r w:rsidR="00C20CEF" w:rsidRPr="007D508F">
              <w:rPr>
                <w:rFonts w:ascii="Verdana" w:hAnsi="Verdana"/>
                <w:sz w:val="20"/>
                <w:szCs w:val="20"/>
              </w:rPr>
              <w:t>:</w:t>
            </w:r>
          </w:p>
          <w:p w14:paraId="072BE2C5" w14:textId="63366984" w:rsidR="000545F3" w:rsidRDefault="000545F3" w:rsidP="00C706BC">
            <w:pPr>
              <w:rPr>
                <w:rFonts w:ascii="Verdana" w:hAnsi="Verdana"/>
                <w:sz w:val="20"/>
                <w:szCs w:val="20"/>
              </w:rPr>
            </w:pPr>
            <w:r w:rsidRPr="007D508F">
              <w:rPr>
                <w:rFonts w:ascii="Verdana" w:hAnsi="Verdana"/>
                <w:sz w:val="20"/>
                <w:szCs w:val="20"/>
              </w:rPr>
              <w:t xml:space="preserve">It is acknowledged that the proposal is lodged as ‘vertical village’ pursuant to Clause 45 of the Seniors Living SEPP. </w:t>
            </w:r>
            <w:r w:rsidR="00A41A19" w:rsidRPr="007D508F">
              <w:rPr>
                <w:rFonts w:ascii="Verdana" w:hAnsi="Verdana"/>
                <w:sz w:val="20"/>
                <w:szCs w:val="20"/>
              </w:rPr>
              <w:t xml:space="preserve">In this regard Clause 24(1)(b) requires </w:t>
            </w:r>
            <w:r w:rsidR="00C74862">
              <w:rPr>
                <w:rFonts w:ascii="Verdana" w:hAnsi="Verdana"/>
                <w:sz w:val="20"/>
                <w:szCs w:val="20"/>
              </w:rPr>
              <w:t>Site Compatibility Certificate (</w:t>
            </w:r>
            <w:r w:rsidR="00AD7387" w:rsidRPr="007D508F">
              <w:rPr>
                <w:rFonts w:ascii="Verdana" w:hAnsi="Verdana"/>
                <w:sz w:val="20"/>
                <w:szCs w:val="20"/>
              </w:rPr>
              <w:t>SCC</w:t>
            </w:r>
            <w:r w:rsidR="00C74862">
              <w:rPr>
                <w:rFonts w:ascii="Verdana" w:hAnsi="Verdana"/>
                <w:sz w:val="20"/>
                <w:szCs w:val="20"/>
              </w:rPr>
              <w:t>)</w:t>
            </w:r>
            <w:r w:rsidR="00AD7387" w:rsidRPr="007D508F">
              <w:rPr>
                <w:rFonts w:ascii="Verdana" w:hAnsi="Verdana"/>
                <w:sz w:val="20"/>
                <w:szCs w:val="20"/>
              </w:rPr>
              <w:t xml:space="preserve"> to be obtained for such development if it is seeking bonus FSR under the provisions of Clause 45. </w:t>
            </w:r>
            <w:r w:rsidR="004D4373" w:rsidRPr="007D508F">
              <w:rPr>
                <w:rFonts w:ascii="Verdana" w:hAnsi="Verdana"/>
                <w:sz w:val="20"/>
                <w:szCs w:val="20"/>
              </w:rPr>
              <w:t xml:space="preserve">A ‘vertical village’ is not a defined land use term </w:t>
            </w:r>
            <w:r w:rsidR="00281711" w:rsidRPr="007D508F">
              <w:rPr>
                <w:rFonts w:ascii="Verdana" w:hAnsi="Verdana"/>
                <w:sz w:val="20"/>
                <w:szCs w:val="20"/>
              </w:rPr>
              <w:t>under the zoning provisions applying to the land. It is Council’s position that in the absence of a SCC the proposed development is not entitled for a bonus FSR</w:t>
            </w:r>
            <w:r w:rsidR="00C74862">
              <w:rPr>
                <w:rFonts w:ascii="Verdana" w:hAnsi="Verdana"/>
                <w:sz w:val="20"/>
                <w:szCs w:val="20"/>
              </w:rPr>
              <w:t xml:space="preserve">. </w:t>
            </w:r>
            <w:r w:rsidR="00E3388F" w:rsidRPr="007D508F">
              <w:rPr>
                <w:rFonts w:ascii="Verdana" w:hAnsi="Verdana"/>
                <w:sz w:val="20"/>
                <w:szCs w:val="20"/>
              </w:rPr>
              <w:t xml:space="preserve"> </w:t>
            </w:r>
          </w:p>
          <w:p w14:paraId="397AD434" w14:textId="011951D3" w:rsidR="00C74862" w:rsidRDefault="00C74862" w:rsidP="00C706BC">
            <w:pPr>
              <w:rPr>
                <w:rFonts w:ascii="Verdana" w:hAnsi="Verdana"/>
                <w:sz w:val="20"/>
                <w:szCs w:val="20"/>
              </w:rPr>
            </w:pPr>
            <w:r>
              <w:rPr>
                <w:rFonts w:ascii="Verdana" w:hAnsi="Verdana"/>
                <w:sz w:val="20"/>
                <w:szCs w:val="20"/>
              </w:rPr>
              <w:t xml:space="preserve">It is noted that SECPP has taken a position on SCC, relying on Clause 24(1A) and noted that bonus FSR is applicable to the proposed development without SCC. </w:t>
            </w:r>
          </w:p>
          <w:p w14:paraId="0C7DB5B9" w14:textId="719E948F" w:rsidR="00C74862" w:rsidRDefault="00C74862" w:rsidP="003456ED">
            <w:pPr>
              <w:rPr>
                <w:rFonts w:ascii="Verdana" w:hAnsi="Verdana"/>
                <w:sz w:val="20"/>
                <w:szCs w:val="20"/>
              </w:rPr>
            </w:pPr>
            <w:r>
              <w:rPr>
                <w:rFonts w:ascii="Verdana" w:hAnsi="Verdana"/>
                <w:sz w:val="20"/>
                <w:szCs w:val="20"/>
              </w:rPr>
              <w:t xml:space="preserve">Regardless of the SCC, a proposal for seniors housing, with or without bonus FSR needs to be compatible with the local built character as required under Clauses 31 to 34 (discussed above). It is also important to note that Clause 45 </w:t>
            </w:r>
            <w:r w:rsidR="00A34FFF">
              <w:rPr>
                <w:rFonts w:ascii="Verdana" w:hAnsi="Verdana"/>
                <w:sz w:val="20"/>
                <w:szCs w:val="20"/>
              </w:rPr>
              <w:t>of the Seniors Living SEPP, in addition to bonus FSR, excludes ‘several on-site</w:t>
            </w:r>
            <w:r>
              <w:rPr>
                <w:rFonts w:ascii="Verdana" w:hAnsi="Verdana"/>
                <w:sz w:val="20"/>
                <w:szCs w:val="20"/>
              </w:rPr>
              <w:t xml:space="preserve"> </w:t>
            </w:r>
            <w:r w:rsidR="00A34FFF">
              <w:rPr>
                <w:rFonts w:ascii="Verdana" w:hAnsi="Verdana"/>
                <w:sz w:val="20"/>
                <w:szCs w:val="20"/>
              </w:rPr>
              <w:t>supportive</w:t>
            </w:r>
            <w:r>
              <w:rPr>
                <w:rFonts w:ascii="Verdana" w:hAnsi="Verdana"/>
                <w:sz w:val="20"/>
                <w:szCs w:val="20"/>
              </w:rPr>
              <w:t xml:space="preserve"> facilities’ </w:t>
            </w:r>
            <w:r w:rsidR="00A34FFF">
              <w:rPr>
                <w:rFonts w:ascii="Verdana" w:hAnsi="Verdana"/>
                <w:sz w:val="20"/>
                <w:szCs w:val="20"/>
              </w:rPr>
              <w:t xml:space="preserve">to be excluded from the GFA calculations. </w:t>
            </w:r>
          </w:p>
          <w:p w14:paraId="6065EE1D" w14:textId="4DB135ED" w:rsidR="000545F3" w:rsidRPr="007D508F" w:rsidRDefault="002E3EE5" w:rsidP="003456ED">
            <w:pPr>
              <w:rPr>
                <w:rFonts w:ascii="Verdana" w:hAnsi="Verdana"/>
                <w:sz w:val="20"/>
                <w:szCs w:val="20"/>
              </w:rPr>
            </w:pPr>
            <w:r w:rsidRPr="007D508F">
              <w:rPr>
                <w:rFonts w:ascii="Verdana" w:hAnsi="Verdana"/>
                <w:sz w:val="20"/>
                <w:szCs w:val="20"/>
              </w:rPr>
              <w:t>Even i</w:t>
            </w:r>
            <w:r w:rsidR="00E3388F" w:rsidRPr="007D508F">
              <w:rPr>
                <w:rFonts w:ascii="Verdana" w:hAnsi="Verdana"/>
                <w:sz w:val="20"/>
                <w:szCs w:val="20"/>
              </w:rPr>
              <w:t>f</w:t>
            </w:r>
            <w:r w:rsidRPr="007D508F">
              <w:rPr>
                <w:rFonts w:ascii="Verdana" w:hAnsi="Verdana"/>
                <w:sz w:val="20"/>
                <w:szCs w:val="20"/>
              </w:rPr>
              <w:t xml:space="preserve"> a SCC is issued, the proposal in its current form is not considered acceptable due to excessive bulk</w:t>
            </w:r>
            <w:r w:rsidR="008D0DA2" w:rsidRPr="007D508F">
              <w:rPr>
                <w:rFonts w:ascii="Verdana" w:hAnsi="Verdana"/>
                <w:sz w:val="20"/>
                <w:szCs w:val="20"/>
              </w:rPr>
              <w:t xml:space="preserve"> and adverse impacts on the amenity of adjoining neighbours and an inconsistent built form </w:t>
            </w:r>
            <w:r w:rsidR="002F24AD" w:rsidRPr="007D508F">
              <w:rPr>
                <w:rFonts w:ascii="Verdana" w:hAnsi="Verdana"/>
                <w:sz w:val="20"/>
                <w:szCs w:val="20"/>
              </w:rPr>
              <w:t xml:space="preserve">when compared with the </w:t>
            </w:r>
            <w:r w:rsidR="006D6DEE" w:rsidRPr="007D508F">
              <w:rPr>
                <w:rFonts w:ascii="Verdana" w:hAnsi="Verdana"/>
                <w:sz w:val="20"/>
                <w:szCs w:val="20"/>
              </w:rPr>
              <w:t xml:space="preserve"> local</w:t>
            </w:r>
            <w:r w:rsidR="008D0DA2" w:rsidRPr="007D508F">
              <w:rPr>
                <w:rFonts w:ascii="Verdana" w:hAnsi="Verdana"/>
                <w:sz w:val="20"/>
                <w:szCs w:val="20"/>
              </w:rPr>
              <w:t xml:space="preserve"> built character</w:t>
            </w:r>
            <w:r w:rsidR="00997606" w:rsidRPr="007D508F">
              <w:rPr>
                <w:rFonts w:ascii="Verdana" w:hAnsi="Verdana"/>
                <w:sz w:val="20"/>
                <w:szCs w:val="20"/>
              </w:rPr>
              <w:t xml:space="preserve">. </w:t>
            </w:r>
            <w:r w:rsidR="006D6DEE" w:rsidRPr="007D508F">
              <w:rPr>
                <w:rFonts w:ascii="Verdana" w:hAnsi="Verdana"/>
                <w:sz w:val="20"/>
                <w:szCs w:val="20"/>
              </w:rPr>
              <w:t xml:space="preserve">As mentioned above the proposal is inconsistent with clauses 31 to 34 of the </w:t>
            </w:r>
            <w:r w:rsidR="003456ED" w:rsidRPr="007D508F">
              <w:rPr>
                <w:rFonts w:ascii="Verdana" w:hAnsi="Verdana"/>
                <w:sz w:val="20"/>
                <w:szCs w:val="20"/>
              </w:rPr>
              <w:t xml:space="preserve">Seniors Living SEPP (discussed above). </w:t>
            </w:r>
          </w:p>
          <w:p w14:paraId="47B11030" w14:textId="3C6AAE52" w:rsidR="00851628" w:rsidRPr="007D508F" w:rsidRDefault="00851628" w:rsidP="003456ED">
            <w:pPr>
              <w:rPr>
                <w:rFonts w:ascii="Verdana" w:hAnsi="Verdana"/>
                <w:sz w:val="20"/>
                <w:szCs w:val="20"/>
              </w:rPr>
            </w:pPr>
            <w:r w:rsidRPr="007D508F">
              <w:rPr>
                <w:rFonts w:ascii="Verdana" w:hAnsi="Verdana"/>
                <w:sz w:val="20"/>
                <w:szCs w:val="20"/>
              </w:rPr>
              <w:t xml:space="preserve">The </w:t>
            </w:r>
            <w:r w:rsidR="00A34FFF">
              <w:rPr>
                <w:rFonts w:ascii="Verdana" w:hAnsi="Verdana"/>
                <w:sz w:val="20"/>
                <w:szCs w:val="20"/>
              </w:rPr>
              <w:t xml:space="preserve">senior housing development (with our without </w:t>
            </w:r>
            <w:r w:rsidRPr="007D508F">
              <w:rPr>
                <w:rFonts w:ascii="Verdana" w:hAnsi="Verdana"/>
                <w:sz w:val="20"/>
                <w:szCs w:val="20"/>
              </w:rPr>
              <w:t>bonus FSR</w:t>
            </w:r>
            <w:r w:rsidR="00A34FFF">
              <w:rPr>
                <w:rFonts w:ascii="Verdana" w:hAnsi="Verdana"/>
                <w:sz w:val="20"/>
                <w:szCs w:val="20"/>
              </w:rPr>
              <w:t>)</w:t>
            </w:r>
            <w:r w:rsidRPr="007D508F">
              <w:rPr>
                <w:rFonts w:ascii="Verdana" w:hAnsi="Verdana"/>
                <w:sz w:val="20"/>
                <w:szCs w:val="20"/>
              </w:rPr>
              <w:t xml:space="preserve"> </w:t>
            </w:r>
            <w:r w:rsidR="00D8593C" w:rsidRPr="007D508F">
              <w:rPr>
                <w:rFonts w:ascii="Verdana" w:hAnsi="Verdana"/>
                <w:sz w:val="20"/>
                <w:szCs w:val="20"/>
              </w:rPr>
              <w:t>is</w:t>
            </w:r>
            <w:r w:rsidRPr="007D508F">
              <w:rPr>
                <w:rFonts w:ascii="Verdana" w:hAnsi="Verdana"/>
                <w:sz w:val="20"/>
                <w:szCs w:val="20"/>
              </w:rPr>
              <w:t xml:space="preserve"> subject to a compatible built form </w:t>
            </w:r>
            <w:r w:rsidR="00DC4B20" w:rsidRPr="007D508F">
              <w:rPr>
                <w:rFonts w:ascii="Verdana" w:hAnsi="Verdana"/>
                <w:sz w:val="20"/>
                <w:szCs w:val="20"/>
              </w:rPr>
              <w:t xml:space="preserve">as required under Clauses 31 to 34 of the Senior’s Living SEPP. </w:t>
            </w:r>
          </w:p>
        </w:tc>
      </w:tr>
      <w:tr w:rsidR="006A46D5" w:rsidRPr="007D508F" w14:paraId="75BD15CE" w14:textId="77777777" w:rsidTr="00B569C5">
        <w:tc>
          <w:tcPr>
            <w:tcW w:w="9016" w:type="dxa"/>
            <w:shd w:val="clear" w:color="auto" w:fill="F2F2F2" w:themeFill="background1" w:themeFillShade="F2"/>
          </w:tcPr>
          <w:p w14:paraId="7B638C99" w14:textId="77777777" w:rsidR="006A46D5" w:rsidRPr="007D508F" w:rsidRDefault="006A46D5" w:rsidP="00773E81">
            <w:pPr>
              <w:rPr>
                <w:rFonts w:ascii="Verdana" w:hAnsi="Verdana"/>
                <w:i/>
                <w:iCs/>
                <w:sz w:val="20"/>
                <w:szCs w:val="20"/>
              </w:rPr>
            </w:pPr>
            <w:r w:rsidRPr="007D508F">
              <w:rPr>
                <w:rFonts w:ascii="Verdana" w:hAnsi="Verdana"/>
                <w:i/>
                <w:iCs/>
                <w:sz w:val="20"/>
                <w:szCs w:val="20"/>
              </w:rPr>
              <w:t xml:space="preserve">The Applicant submitted information with the DA to satisfy all the provisions of Clause 45 of the Seniors Housing SEPP. In particular, the Applicant submitted information from Mr Pickles Senior Counsel regarding the Council interpretation of Clause 45(6) of the Seniors Housing SEPP. This information formed part of the Applicant’s Addendum SEE loaded to the NSW Planning Portal PAN on 1 July 2021. This Addendum SEE is attached for information purposes for the SECPP. Mr Pickles clearly demonstrates that the language of Clause 45(6) does not reference 10% of Gross Floor Area (GFA) or beds in the “residential care facility”. Rather, the provisions of Clause 45(6) specifically apply to “dwellings”: </w:t>
            </w:r>
          </w:p>
          <w:p w14:paraId="3515BAA6" w14:textId="77777777" w:rsidR="006A46D5" w:rsidRPr="007D508F" w:rsidRDefault="006A46D5" w:rsidP="00773E81">
            <w:pPr>
              <w:rPr>
                <w:rFonts w:ascii="Verdana" w:hAnsi="Verdana"/>
                <w:i/>
                <w:iCs/>
                <w:sz w:val="20"/>
                <w:szCs w:val="20"/>
              </w:rPr>
            </w:pPr>
            <w:r w:rsidRPr="007D508F">
              <w:rPr>
                <w:rFonts w:ascii="Verdana" w:hAnsi="Verdana"/>
                <w:i/>
                <w:iCs/>
                <w:sz w:val="20"/>
                <w:szCs w:val="20"/>
              </w:rPr>
              <w:lastRenderedPageBreak/>
              <w:t xml:space="preserve">(6) </w:t>
            </w:r>
            <w:r w:rsidRPr="007D508F">
              <w:rPr>
                <w:rFonts w:ascii="Verdana" w:hAnsi="Verdana"/>
                <w:b/>
                <w:bCs/>
                <w:i/>
                <w:iCs/>
                <w:sz w:val="20"/>
                <w:szCs w:val="20"/>
              </w:rPr>
              <w:t>Requirements relating to affordable places and on-site support services</w:t>
            </w:r>
            <w:r w:rsidRPr="007D508F">
              <w:rPr>
                <w:rFonts w:ascii="Verdana" w:hAnsi="Verdana"/>
                <w:i/>
                <w:iCs/>
                <w:sz w:val="20"/>
                <w:szCs w:val="20"/>
              </w:rPr>
              <w:t xml:space="preserve"> A consent authority may only grant consent to a development application as referred to in subclause (2) if— </w:t>
            </w:r>
          </w:p>
          <w:p w14:paraId="1DA64FE4" w14:textId="77777777" w:rsidR="006A46D5" w:rsidRPr="007D508F" w:rsidRDefault="006A46D5" w:rsidP="00773E81">
            <w:pPr>
              <w:rPr>
                <w:rFonts w:ascii="Verdana" w:hAnsi="Verdana"/>
                <w:i/>
                <w:iCs/>
                <w:sz w:val="20"/>
                <w:szCs w:val="20"/>
              </w:rPr>
            </w:pPr>
            <w:r w:rsidRPr="007D508F">
              <w:rPr>
                <w:rFonts w:ascii="Verdana" w:hAnsi="Verdana"/>
                <w:i/>
                <w:iCs/>
                <w:sz w:val="20"/>
                <w:szCs w:val="20"/>
              </w:rPr>
              <w:t xml:space="preserve">(a)  the consent authority is satisfied, on written evidence, that— </w:t>
            </w:r>
          </w:p>
          <w:p w14:paraId="1053B2A6" w14:textId="77777777" w:rsidR="006A46D5" w:rsidRPr="007D508F" w:rsidRDefault="006A46D5" w:rsidP="001642E2">
            <w:pPr>
              <w:rPr>
                <w:rFonts w:ascii="Verdana" w:hAnsi="Verdana"/>
                <w:i/>
                <w:iCs/>
                <w:sz w:val="20"/>
                <w:szCs w:val="20"/>
              </w:rPr>
            </w:pPr>
            <w:r w:rsidRPr="007D508F">
              <w:rPr>
                <w:rFonts w:ascii="Verdana" w:hAnsi="Verdana"/>
                <w:i/>
                <w:iCs/>
                <w:sz w:val="20"/>
                <w:szCs w:val="20"/>
              </w:rPr>
              <w:t>(i)  the proposed development will deliver on-site support services for its residents, and</w:t>
            </w:r>
          </w:p>
          <w:p w14:paraId="75F95574" w14:textId="77777777" w:rsidR="006A46D5" w:rsidRPr="007D508F" w:rsidRDefault="006A46D5" w:rsidP="001642E2">
            <w:pPr>
              <w:rPr>
                <w:rFonts w:ascii="Verdana" w:hAnsi="Verdana"/>
                <w:i/>
                <w:iCs/>
                <w:sz w:val="20"/>
                <w:szCs w:val="20"/>
              </w:rPr>
            </w:pPr>
            <w:r w:rsidRPr="007D508F">
              <w:rPr>
                <w:rFonts w:ascii="Verdana" w:hAnsi="Verdana"/>
                <w:i/>
                <w:iCs/>
                <w:sz w:val="20"/>
                <w:szCs w:val="20"/>
              </w:rPr>
              <w:t xml:space="preserve">(ii)  </w:t>
            </w:r>
            <w:r w:rsidRPr="007D508F">
              <w:rPr>
                <w:rFonts w:ascii="Verdana" w:hAnsi="Verdana"/>
                <w:b/>
                <w:bCs/>
                <w:i/>
                <w:iCs/>
                <w:sz w:val="20"/>
                <w:szCs w:val="20"/>
              </w:rPr>
              <w:t>at least 10% of the dwellings</w:t>
            </w:r>
            <w:r w:rsidRPr="007D508F">
              <w:rPr>
                <w:rFonts w:ascii="Verdana" w:hAnsi="Verdana"/>
                <w:i/>
                <w:iCs/>
                <w:sz w:val="20"/>
                <w:szCs w:val="20"/>
              </w:rPr>
              <w:t xml:space="preserve"> for the accommodation of residents in the proposed development will be affordable places, and </w:t>
            </w:r>
          </w:p>
          <w:p w14:paraId="79504A75" w14:textId="77777777" w:rsidR="006A46D5" w:rsidRPr="007D508F" w:rsidRDefault="006A46D5" w:rsidP="001642E2">
            <w:pPr>
              <w:rPr>
                <w:rFonts w:ascii="Verdana" w:hAnsi="Verdana"/>
                <w:i/>
                <w:iCs/>
                <w:sz w:val="20"/>
                <w:szCs w:val="20"/>
              </w:rPr>
            </w:pPr>
            <w:r w:rsidRPr="007D508F">
              <w:rPr>
                <w:rFonts w:ascii="Verdana" w:hAnsi="Verdana"/>
                <w:i/>
                <w:iCs/>
                <w:sz w:val="20"/>
                <w:szCs w:val="20"/>
              </w:rPr>
              <w:t xml:space="preserve">(b)  the applicant identifies, to the satisfaction of the consent authority, </w:t>
            </w:r>
            <w:r w:rsidRPr="007D508F">
              <w:rPr>
                <w:rFonts w:ascii="Verdana" w:hAnsi="Verdana"/>
                <w:b/>
                <w:bCs/>
                <w:i/>
                <w:iCs/>
                <w:sz w:val="20"/>
                <w:szCs w:val="20"/>
              </w:rPr>
              <w:t>which of the dwellings</w:t>
            </w:r>
            <w:r w:rsidRPr="007D508F">
              <w:rPr>
                <w:rFonts w:ascii="Verdana" w:hAnsi="Verdana"/>
                <w:i/>
                <w:iCs/>
                <w:sz w:val="20"/>
                <w:szCs w:val="20"/>
              </w:rPr>
              <w:t xml:space="preserve"> for the accommodation of residents in the proposed development will be set aside as affordable places. </w:t>
            </w:r>
          </w:p>
          <w:p w14:paraId="2BDA6E10" w14:textId="20C4C33C" w:rsidR="006A46D5" w:rsidRPr="007D508F" w:rsidRDefault="006A46D5" w:rsidP="00C706BC">
            <w:pPr>
              <w:rPr>
                <w:rFonts w:ascii="Verdana" w:hAnsi="Verdana"/>
                <w:sz w:val="20"/>
                <w:szCs w:val="20"/>
              </w:rPr>
            </w:pPr>
            <w:r w:rsidRPr="007D508F">
              <w:rPr>
                <w:rFonts w:ascii="Verdana" w:hAnsi="Verdana"/>
                <w:i/>
                <w:iCs/>
                <w:sz w:val="20"/>
                <w:szCs w:val="20"/>
              </w:rPr>
              <w:t>If the provisions of Clause 45(6) intended the application of 10% to GFA / beds, it would state the same. As such, the Applicant considers that the Council has interpreted the provisions of Clause 45(6) incorrectly, which has tainted much of the assessment as presented to the SECPP. The Applicant is prepared to allocate one of the two dwellings as affordable accommodation and teamed with Bridge Housing as a registered social housing provider (refer to letter of undertaking submitted with SEE). Mr Pickles would address the SECPP meeting however he advised he is attending Court on 2 December 2021.</w:t>
            </w:r>
          </w:p>
        </w:tc>
      </w:tr>
      <w:tr w:rsidR="009C5B6D" w:rsidRPr="007D508F" w14:paraId="00E2A757" w14:textId="77777777" w:rsidTr="00F31B71">
        <w:tc>
          <w:tcPr>
            <w:tcW w:w="9016" w:type="dxa"/>
          </w:tcPr>
          <w:p w14:paraId="11C59AA8" w14:textId="688B6DA3" w:rsidR="009C5B6D" w:rsidRPr="007D508F" w:rsidRDefault="009C5B6D" w:rsidP="00773E81">
            <w:pPr>
              <w:rPr>
                <w:rFonts w:ascii="Verdana" w:hAnsi="Verdana"/>
                <w:sz w:val="20"/>
                <w:szCs w:val="20"/>
              </w:rPr>
            </w:pPr>
            <w:r w:rsidRPr="007D508F">
              <w:rPr>
                <w:rFonts w:ascii="Verdana" w:hAnsi="Verdana"/>
                <w:sz w:val="20"/>
                <w:szCs w:val="20"/>
              </w:rPr>
              <w:lastRenderedPageBreak/>
              <w:t>Comment</w:t>
            </w:r>
            <w:r w:rsidR="00B84186" w:rsidRPr="007D508F">
              <w:rPr>
                <w:rFonts w:ascii="Verdana" w:hAnsi="Verdana"/>
                <w:sz w:val="20"/>
                <w:szCs w:val="20"/>
              </w:rPr>
              <w:t>:</w:t>
            </w:r>
          </w:p>
          <w:p w14:paraId="4D736041" w14:textId="77777777" w:rsidR="009C5B6D" w:rsidRPr="007D508F" w:rsidRDefault="00473D6F" w:rsidP="00773E81">
            <w:pPr>
              <w:rPr>
                <w:rFonts w:ascii="Verdana" w:hAnsi="Verdana"/>
                <w:sz w:val="20"/>
                <w:szCs w:val="20"/>
              </w:rPr>
            </w:pPr>
            <w:r w:rsidRPr="007D508F">
              <w:rPr>
                <w:rFonts w:ascii="Verdana" w:hAnsi="Verdana"/>
                <w:sz w:val="20"/>
                <w:szCs w:val="20"/>
              </w:rPr>
              <w:t xml:space="preserve">This issue is discussed in </w:t>
            </w:r>
            <w:r w:rsidR="00237179" w:rsidRPr="007D508F">
              <w:rPr>
                <w:rFonts w:ascii="Verdana" w:hAnsi="Verdana"/>
                <w:sz w:val="20"/>
                <w:szCs w:val="20"/>
              </w:rPr>
              <w:t>Council</w:t>
            </w:r>
            <w:r w:rsidR="00D73648" w:rsidRPr="007D508F">
              <w:rPr>
                <w:rFonts w:ascii="Verdana" w:hAnsi="Verdana"/>
                <w:sz w:val="20"/>
                <w:szCs w:val="20"/>
              </w:rPr>
              <w:t>’s</w:t>
            </w:r>
            <w:r w:rsidRPr="007D508F">
              <w:rPr>
                <w:rFonts w:ascii="Verdana" w:hAnsi="Verdana"/>
                <w:sz w:val="20"/>
                <w:szCs w:val="20"/>
              </w:rPr>
              <w:t xml:space="preserve"> report on pages 14 and 15 and applicant’s arguments </w:t>
            </w:r>
            <w:r w:rsidR="00D73648" w:rsidRPr="007D508F">
              <w:rPr>
                <w:rFonts w:ascii="Verdana" w:hAnsi="Verdana"/>
                <w:sz w:val="20"/>
                <w:szCs w:val="20"/>
              </w:rPr>
              <w:t>are</w:t>
            </w:r>
            <w:r w:rsidRPr="007D508F">
              <w:rPr>
                <w:rFonts w:ascii="Verdana" w:hAnsi="Verdana"/>
                <w:sz w:val="20"/>
                <w:szCs w:val="20"/>
              </w:rPr>
              <w:t xml:space="preserve"> not considered acceptable that 10% affordable </w:t>
            </w:r>
            <w:r w:rsidR="00D73648" w:rsidRPr="007D508F">
              <w:rPr>
                <w:rFonts w:ascii="Verdana" w:hAnsi="Verdana"/>
                <w:sz w:val="20"/>
                <w:szCs w:val="20"/>
              </w:rPr>
              <w:t xml:space="preserve">places only </w:t>
            </w:r>
            <w:r w:rsidR="00D93CD8" w:rsidRPr="007D508F">
              <w:rPr>
                <w:rFonts w:ascii="Verdana" w:hAnsi="Verdana"/>
                <w:sz w:val="20"/>
                <w:szCs w:val="20"/>
              </w:rPr>
              <w:t>relate</w:t>
            </w:r>
            <w:r w:rsidR="00D73648" w:rsidRPr="007D508F">
              <w:rPr>
                <w:rFonts w:ascii="Verdana" w:hAnsi="Verdana"/>
                <w:sz w:val="20"/>
                <w:szCs w:val="20"/>
              </w:rPr>
              <w:t xml:space="preserve"> to the two ILUs. The Senior’s Living SEPP uses </w:t>
            </w:r>
            <w:r w:rsidR="00184655" w:rsidRPr="007D508F">
              <w:rPr>
                <w:rFonts w:ascii="Verdana" w:hAnsi="Verdana"/>
                <w:sz w:val="20"/>
                <w:szCs w:val="20"/>
              </w:rPr>
              <w:t xml:space="preserve">‘affordable places’ </w:t>
            </w:r>
            <w:r w:rsidR="006376FE" w:rsidRPr="007D508F">
              <w:rPr>
                <w:rFonts w:ascii="Verdana" w:hAnsi="Verdana"/>
                <w:sz w:val="20"/>
                <w:szCs w:val="20"/>
              </w:rPr>
              <w:t xml:space="preserve">to refer </w:t>
            </w:r>
            <w:r w:rsidR="00896B8F" w:rsidRPr="007D508F">
              <w:rPr>
                <w:rFonts w:ascii="Verdana" w:hAnsi="Verdana"/>
                <w:sz w:val="20"/>
                <w:szCs w:val="20"/>
              </w:rPr>
              <w:t xml:space="preserve">to affordable dwellings. It is council’s position that this relates to entire development. By way of comparison, Affordable Rental Housing SEPP 2009 also offers ‘bonus FSR’ but it seeks in return </w:t>
            </w:r>
            <w:r w:rsidR="00896832" w:rsidRPr="007D508F">
              <w:rPr>
                <w:rFonts w:ascii="Verdana" w:hAnsi="Verdana"/>
                <w:sz w:val="20"/>
                <w:szCs w:val="20"/>
              </w:rPr>
              <w:t>‘</w:t>
            </w:r>
            <w:r w:rsidR="00896B8F" w:rsidRPr="007D508F">
              <w:rPr>
                <w:rFonts w:ascii="Verdana" w:hAnsi="Verdana"/>
                <w:sz w:val="20"/>
                <w:szCs w:val="20"/>
              </w:rPr>
              <w:t xml:space="preserve">affordable housing’ to be provided. </w:t>
            </w:r>
            <w:r w:rsidR="00896832" w:rsidRPr="007D508F">
              <w:rPr>
                <w:rFonts w:ascii="Verdana" w:hAnsi="Verdana"/>
                <w:sz w:val="20"/>
                <w:szCs w:val="20"/>
              </w:rPr>
              <w:t xml:space="preserve">It does not mention the word dwelling yet </w:t>
            </w:r>
            <w:r w:rsidR="00617CF5" w:rsidRPr="007D508F">
              <w:rPr>
                <w:rFonts w:ascii="Verdana" w:hAnsi="Verdana"/>
                <w:sz w:val="20"/>
                <w:szCs w:val="20"/>
              </w:rPr>
              <w:t xml:space="preserve">affordable housing is required </w:t>
            </w:r>
            <w:r w:rsidR="00AB7FDC" w:rsidRPr="007D508F">
              <w:rPr>
                <w:rFonts w:ascii="Verdana" w:hAnsi="Verdana"/>
                <w:sz w:val="20"/>
                <w:szCs w:val="20"/>
              </w:rPr>
              <w:t xml:space="preserve">and offered </w:t>
            </w:r>
            <w:r w:rsidR="00617CF5" w:rsidRPr="007D508F">
              <w:rPr>
                <w:rFonts w:ascii="Verdana" w:hAnsi="Verdana"/>
                <w:sz w:val="20"/>
                <w:szCs w:val="20"/>
              </w:rPr>
              <w:t xml:space="preserve">in dwelling form. </w:t>
            </w:r>
          </w:p>
          <w:p w14:paraId="7783F98B" w14:textId="77777777" w:rsidR="00CD5AF3" w:rsidRPr="007D508F" w:rsidRDefault="00CC3A39" w:rsidP="00773E81">
            <w:pPr>
              <w:rPr>
                <w:rFonts w:ascii="Verdana" w:hAnsi="Verdana"/>
                <w:sz w:val="20"/>
                <w:szCs w:val="20"/>
              </w:rPr>
            </w:pPr>
            <w:r w:rsidRPr="007D508F">
              <w:rPr>
                <w:rFonts w:ascii="Verdana" w:hAnsi="Verdana"/>
                <w:sz w:val="20"/>
                <w:szCs w:val="20"/>
              </w:rPr>
              <w:t xml:space="preserve">Alternately the bonus FSR should only be available to a development that offers </w:t>
            </w:r>
            <w:r w:rsidR="00AE433F" w:rsidRPr="007D508F">
              <w:rPr>
                <w:rFonts w:ascii="Verdana" w:hAnsi="Verdana"/>
                <w:sz w:val="20"/>
                <w:szCs w:val="20"/>
              </w:rPr>
              <w:t>dwellings for the accommodation of a senior residen</w:t>
            </w:r>
            <w:r w:rsidR="0029066C" w:rsidRPr="007D508F">
              <w:rPr>
                <w:rFonts w:ascii="Verdana" w:hAnsi="Verdana"/>
                <w:sz w:val="20"/>
                <w:szCs w:val="20"/>
              </w:rPr>
              <w:t xml:space="preserve">t or to that component of a development </w:t>
            </w:r>
            <w:r w:rsidR="00416546" w:rsidRPr="007D508F">
              <w:rPr>
                <w:rFonts w:ascii="Verdana" w:hAnsi="Verdana"/>
                <w:sz w:val="20"/>
                <w:szCs w:val="20"/>
              </w:rPr>
              <w:t>only that includes dwellings. Referring to Affordable Rental Housing SEPP 2009</w:t>
            </w:r>
            <w:r w:rsidR="00617399" w:rsidRPr="007D508F">
              <w:rPr>
                <w:rFonts w:ascii="Verdana" w:hAnsi="Verdana"/>
                <w:sz w:val="20"/>
                <w:szCs w:val="20"/>
              </w:rPr>
              <w:t xml:space="preserve">, it offers bonus FSR for a ‘shop top housing development’ (mixed use development) but the bonus FSR only applies to residential development and not to the commercial component of the development. </w:t>
            </w:r>
          </w:p>
          <w:p w14:paraId="32D06C97" w14:textId="75AE6A90" w:rsidR="00543CBB" w:rsidRPr="007D508F" w:rsidRDefault="00543CBB" w:rsidP="00773E81">
            <w:pPr>
              <w:rPr>
                <w:rFonts w:ascii="Verdana" w:hAnsi="Verdana"/>
                <w:sz w:val="20"/>
                <w:szCs w:val="20"/>
              </w:rPr>
            </w:pPr>
            <w:r w:rsidRPr="007D508F">
              <w:rPr>
                <w:rFonts w:ascii="Verdana" w:hAnsi="Verdana"/>
                <w:sz w:val="20"/>
                <w:szCs w:val="20"/>
              </w:rPr>
              <w:t xml:space="preserve">It is Council’s </w:t>
            </w:r>
            <w:r w:rsidR="00A5568F" w:rsidRPr="007D508F">
              <w:rPr>
                <w:rFonts w:ascii="Verdana" w:hAnsi="Verdana"/>
                <w:sz w:val="20"/>
                <w:szCs w:val="20"/>
              </w:rPr>
              <w:t xml:space="preserve">position </w:t>
            </w:r>
            <w:r w:rsidRPr="007D508F">
              <w:rPr>
                <w:rFonts w:ascii="Verdana" w:hAnsi="Verdana"/>
                <w:sz w:val="20"/>
                <w:szCs w:val="20"/>
              </w:rPr>
              <w:t xml:space="preserve">that either 10% of all </w:t>
            </w:r>
            <w:r w:rsidR="005E1520" w:rsidRPr="007D508F">
              <w:rPr>
                <w:rFonts w:ascii="Verdana" w:hAnsi="Verdana"/>
                <w:sz w:val="20"/>
                <w:szCs w:val="20"/>
              </w:rPr>
              <w:t xml:space="preserve">rooms/dwellings shall be offered as affordable places or bonus FSR should only be applicable to the two ILUs. </w:t>
            </w:r>
          </w:p>
        </w:tc>
      </w:tr>
      <w:tr w:rsidR="00AD510E" w:rsidRPr="007D508F" w14:paraId="07C079A3" w14:textId="77777777" w:rsidTr="00B569C5">
        <w:tc>
          <w:tcPr>
            <w:tcW w:w="9016" w:type="dxa"/>
            <w:shd w:val="clear" w:color="auto" w:fill="F2F2F2" w:themeFill="background1" w:themeFillShade="F2"/>
          </w:tcPr>
          <w:p w14:paraId="2FB32C8A" w14:textId="09307DD5" w:rsidR="00AD510E" w:rsidRPr="007D508F" w:rsidRDefault="00AD510E" w:rsidP="00C706BC">
            <w:pPr>
              <w:rPr>
                <w:rFonts w:ascii="Verdana" w:hAnsi="Verdana"/>
                <w:sz w:val="20"/>
                <w:szCs w:val="20"/>
              </w:rPr>
            </w:pPr>
            <w:r w:rsidRPr="007D508F">
              <w:rPr>
                <w:rFonts w:ascii="Verdana" w:hAnsi="Verdana"/>
                <w:i/>
                <w:iCs/>
                <w:sz w:val="20"/>
                <w:szCs w:val="20"/>
              </w:rPr>
              <w:t>5. The Applicant submitted amended design drawings on 31 August 2021. This was a result of discussions with the NSW Department of Planning, Industry and Environment (DPIE) who were assessing the SCC. Where the SCC was amended, for consistency so too the DA was amended, to ensure an open and transparent process with both DPIE and Council. Based on DPIE feedback the design was amended to reduce the overall height to 13.54m, being 1.54m or a 12% variation. This is included an amended Clause 4.6 variation request submitted to Council on 31 August 2021. This information has not been assessed by Council or presented in the information to the SECPP.</w:t>
            </w:r>
          </w:p>
        </w:tc>
      </w:tr>
      <w:tr w:rsidR="00AD510E" w:rsidRPr="007D508F" w14:paraId="5C84EEA8" w14:textId="77777777" w:rsidTr="00345BE1">
        <w:tc>
          <w:tcPr>
            <w:tcW w:w="9016" w:type="dxa"/>
          </w:tcPr>
          <w:p w14:paraId="2D0DDF48" w14:textId="77777777" w:rsidR="00AD510E" w:rsidRPr="007D508F" w:rsidRDefault="00AD510E" w:rsidP="00C706BC">
            <w:pPr>
              <w:rPr>
                <w:rFonts w:ascii="Verdana" w:hAnsi="Verdana"/>
                <w:sz w:val="20"/>
                <w:szCs w:val="20"/>
              </w:rPr>
            </w:pPr>
            <w:r w:rsidRPr="007D508F">
              <w:rPr>
                <w:rFonts w:ascii="Verdana" w:hAnsi="Verdana"/>
                <w:sz w:val="20"/>
                <w:szCs w:val="20"/>
              </w:rPr>
              <w:t>Comment:</w:t>
            </w:r>
          </w:p>
          <w:p w14:paraId="742F2919" w14:textId="32F6CC16" w:rsidR="008D4DD9" w:rsidRPr="007D508F" w:rsidRDefault="0039721E" w:rsidP="00C706BC">
            <w:pPr>
              <w:rPr>
                <w:rFonts w:ascii="Verdana" w:hAnsi="Verdana"/>
                <w:sz w:val="20"/>
                <w:szCs w:val="20"/>
              </w:rPr>
            </w:pPr>
            <w:r w:rsidRPr="007D508F">
              <w:rPr>
                <w:rFonts w:ascii="Verdana" w:hAnsi="Verdana"/>
                <w:sz w:val="20"/>
                <w:szCs w:val="20"/>
              </w:rPr>
              <w:t xml:space="preserve">Council is not privy to the discussion that took place between the applicant and </w:t>
            </w:r>
            <w:r w:rsidR="009840AD" w:rsidRPr="007D508F">
              <w:rPr>
                <w:rFonts w:ascii="Verdana" w:hAnsi="Verdana"/>
                <w:sz w:val="20"/>
                <w:szCs w:val="20"/>
              </w:rPr>
              <w:t xml:space="preserve">DPIE regarding the SCC. It is acknowledged that </w:t>
            </w:r>
            <w:r w:rsidR="001D7596" w:rsidRPr="007D508F">
              <w:rPr>
                <w:rFonts w:ascii="Verdana" w:hAnsi="Verdana"/>
                <w:sz w:val="20"/>
                <w:szCs w:val="20"/>
              </w:rPr>
              <w:t xml:space="preserve">the height is further reduced and </w:t>
            </w:r>
            <w:r w:rsidR="009840AD" w:rsidRPr="007D508F">
              <w:rPr>
                <w:rFonts w:ascii="Verdana" w:hAnsi="Verdana"/>
                <w:sz w:val="20"/>
                <w:szCs w:val="20"/>
              </w:rPr>
              <w:t xml:space="preserve">reference </w:t>
            </w:r>
            <w:r w:rsidR="009840AD" w:rsidRPr="007D508F">
              <w:rPr>
                <w:rFonts w:ascii="Verdana" w:hAnsi="Verdana"/>
                <w:sz w:val="20"/>
                <w:szCs w:val="20"/>
              </w:rPr>
              <w:lastRenderedPageBreak/>
              <w:t xml:space="preserve">to height breach </w:t>
            </w:r>
            <w:r w:rsidR="006D76E3" w:rsidRPr="007D508F">
              <w:rPr>
                <w:rFonts w:ascii="Verdana" w:hAnsi="Verdana"/>
                <w:sz w:val="20"/>
                <w:szCs w:val="20"/>
              </w:rPr>
              <w:t xml:space="preserve">of </w:t>
            </w:r>
            <w:r w:rsidR="00661A5C" w:rsidRPr="007D508F">
              <w:rPr>
                <w:rFonts w:ascii="Verdana" w:hAnsi="Verdana"/>
                <w:sz w:val="20"/>
                <w:szCs w:val="20"/>
              </w:rPr>
              <w:t xml:space="preserve">14.2m </w:t>
            </w:r>
            <w:r w:rsidR="004833D9" w:rsidRPr="007D508F">
              <w:rPr>
                <w:rFonts w:ascii="Verdana" w:hAnsi="Verdana"/>
                <w:sz w:val="20"/>
                <w:szCs w:val="20"/>
              </w:rPr>
              <w:t xml:space="preserve">in Council’s assessment report was </w:t>
            </w:r>
            <w:r w:rsidR="00661A5C" w:rsidRPr="007D508F">
              <w:rPr>
                <w:rFonts w:ascii="Verdana" w:hAnsi="Verdana"/>
                <w:sz w:val="20"/>
                <w:szCs w:val="20"/>
              </w:rPr>
              <w:t>an oversight</w:t>
            </w:r>
            <w:r w:rsidR="00BA2531" w:rsidRPr="007D508F">
              <w:rPr>
                <w:rFonts w:ascii="Verdana" w:hAnsi="Verdana"/>
                <w:sz w:val="20"/>
                <w:szCs w:val="20"/>
              </w:rPr>
              <w:t xml:space="preserve">. The </w:t>
            </w:r>
            <w:r w:rsidR="00661A5C" w:rsidRPr="007D508F">
              <w:rPr>
                <w:rFonts w:ascii="Verdana" w:hAnsi="Verdana"/>
                <w:sz w:val="20"/>
                <w:szCs w:val="20"/>
              </w:rPr>
              <w:t>actual height breach</w:t>
            </w:r>
            <w:r w:rsidR="00BA2531" w:rsidRPr="007D508F">
              <w:rPr>
                <w:rFonts w:ascii="Verdana" w:hAnsi="Verdana"/>
                <w:sz w:val="20"/>
                <w:szCs w:val="20"/>
              </w:rPr>
              <w:t xml:space="preserve">, based on the corrected survey, </w:t>
            </w:r>
            <w:r w:rsidR="00661A5C" w:rsidRPr="007D508F">
              <w:rPr>
                <w:rFonts w:ascii="Verdana" w:hAnsi="Verdana"/>
                <w:sz w:val="20"/>
                <w:szCs w:val="20"/>
              </w:rPr>
              <w:t>is 13.54</w:t>
            </w:r>
            <w:r w:rsidR="00A33F9F" w:rsidRPr="007D508F">
              <w:rPr>
                <w:rFonts w:ascii="Verdana" w:hAnsi="Verdana"/>
                <w:sz w:val="20"/>
                <w:szCs w:val="20"/>
              </w:rPr>
              <w:t xml:space="preserve">m or a 12% variation. However, applicant’s updated Clause 4.6 was considered during the assessment of the application and </w:t>
            </w:r>
            <w:r w:rsidR="00D227A8" w:rsidRPr="007D508F">
              <w:rPr>
                <w:rFonts w:ascii="Verdana" w:hAnsi="Verdana"/>
                <w:sz w:val="20"/>
                <w:szCs w:val="20"/>
              </w:rPr>
              <w:t xml:space="preserve">the </w:t>
            </w:r>
            <w:r w:rsidR="00BB304A" w:rsidRPr="007D508F">
              <w:rPr>
                <w:rFonts w:ascii="Verdana" w:hAnsi="Verdana"/>
                <w:sz w:val="20"/>
                <w:szCs w:val="20"/>
              </w:rPr>
              <w:t xml:space="preserve">updated </w:t>
            </w:r>
            <w:r w:rsidR="00D227A8" w:rsidRPr="007D508F">
              <w:rPr>
                <w:rFonts w:ascii="Verdana" w:hAnsi="Verdana"/>
                <w:sz w:val="20"/>
                <w:szCs w:val="20"/>
              </w:rPr>
              <w:t xml:space="preserve">Clause 4.6 </w:t>
            </w:r>
            <w:r w:rsidR="00BB304A" w:rsidRPr="007D508F">
              <w:rPr>
                <w:rFonts w:ascii="Verdana" w:hAnsi="Verdana"/>
                <w:sz w:val="20"/>
                <w:szCs w:val="20"/>
              </w:rPr>
              <w:t xml:space="preserve">(dated 31 August 2021) </w:t>
            </w:r>
            <w:r w:rsidR="00D227A8" w:rsidRPr="007D508F">
              <w:rPr>
                <w:rFonts w:ascii="Verdana" w:hAnsi="Verdana"/>
                <w:sz w:val="20"/>
                <w:szCs w:val="20"/>
              </w:rPr>
              <w:t xml:space="preserve">was referred for SECPP’s consideration. </w:t>
            </w:r>
            <w:r w:rsidR="00E52F5E" w:rsidRPr="007D508F">
              <w:rPr>
                <w:rFonts w:ascii="Verdana" w:hAnsi="Verdana"/>
                <w:sz w:val="20"/>
                <w:szCs w:val="20"/>
              </w:rPr>
              <w:t xml:space="preserve">In conclusion, the height breach is still not considered justifiable due to lack of environmental planning grounds. </w:t>
            </w:r>
          </w:p>
          <w:p w14:paraId="5ADB98F9" w14:textId="77777777" w:rsidR="00241E02" w:rsidRPr="007D508F" w:rsidRDefault="00F417A0" w:rsidP="00C706BC">
            <w:pPr>
              <w:rPr>
                <w:rFonts w:ascii="Verdana" w:hAnsi="Verdana"/>
                <w:sz w:val="20"/>
                <w:szCs w:val="20"/>
              </w:rPr>
            </w:pPr>
            <w:r w:rsidRPr="007D508F">
              <w:rPr>
                <w:rFonts w:ascii="Verdana" w:hAnsi="Verdana"/>
                <w:sz w:val="20"/>
                <w:szCs w:val="20"/>
              </w:rPr>
              <w:t xml:space="preserve">The applicant primarily argues that the proposal will not impact on the adjoining neighbours and provide affordable housing therefore the height breach should be supported. Both arguments are </w:t>
            </w:r>
            <w:r w:rsidR="00FB7B90" w:rsidRPr="007D508F">
              <w:rPr>
                <w:rFonts w:ascii="Verdana" w:hAnsi="Verdana"/>
                <w:sz w:val="20"/>
                <w:szCs w:val="20"/>
              </w:rPr>
              <w:t xml:space="preserve">week as a) having no impacts or little impacts </w:t>
            </w:r>
            <w:r w:rsidR="008D4DD9" w:rsidRPr="007D508F">
              <w:rPr>
                <w:rFonts w:ascii="Verdana" w:hAnsi="Verdana"/>
                <w:sz w:val="20"/>
                <w:szCs w:val="20"/>
              </w:rPr>
              <w:t>is</w:t>
            </w:r>
            <w:r w:rsidR="00FB7B90" w:rsidRPr="007D508F">
              <w:rPr>
                <w:rFonts w:ascii="Verdana" w:hAnsi="Verdana"/>
                <w:sz w:val="20"/>
                <w:szCs w:val="20"/>
              </w:rPr>
              <w:t xml:space="preserve"> not a valid environmental planning ground to support variation </w:t>
            </w:r>
            <w:r w:rsidR="00B24F1E" w:rsidRPr="007D508F">
              <w:rPr>
                <w:rFonts w:ascii="Verdana" w:hAnsi="Verdana"/>
                <w:sz w:val="20"/>
                <w:szCs w:val="20"/>
              </w:rPr>
              <w:t>of</w:t>
            </w:r>
            <w:r w:rsidR="00FB7B90" w:rsidRPr="007D508F">
              <w:rPr>
                <w:rFonts w:ascii="Verdana" w:hAnsi="Verdana"/>
                <w:sz w:val="20"/>
                <w:szCs w:val="20"/>
              </w:rPr>
              <w:t xml:space="preserve"> a development standard</w:t>
            </w:r>
            <w:r w:rsidR="008C2055" w:rsidRPr="007D508F">
              <w:rPr>
                <w:rFonts w:ascii="Verdana" w:hAnsi="Verdana"/>
                <w:sz w:val="20"/>
                <w:szCs w:val="20"/>
              </w:rPr>
              <w:t xml:space="preserve">. </w:t>
            </w:r>
            <w:r w:rsidR="009B0A8F" w:rsidRPr="007D508F">
              <w:rPr>
                <w:rFonts w:ascii="Verdana" w:hAnsi="Verdana"/>
                <w:sz w:val="20"/>
                <w:szCs w:val="20"/>
              </w:rPr>
              <w:t xml:space="preserve">Valid environmental planning grounds </w:t>
            </w:r>
            <w:r w:rsidR="004B748F" w:rsidRPr="007D508F">
              <w:rPr>
                <w:rFonts w:ascii="Verdana" w:hAnsi="Verdana"/>
                <w:sz w:val="20"/>
                <w:szCs w:val="20"/>
              </w:rPr>
              <w:t xml:space="preserve">may include arguments such as a standard is </w:t>
            </w:r>
            <w:r w:rsidR="008F2B1B" w:rsidRPr="007D508F">
              <w:rPr>
                <w:rFonts w:ascii="Verdana" w:hAnsi="Verdana"/>
                <w:sz w:val="20"/>
                <w:szCs w:val="20"/>
              </w:rPr>
              <w:t>breached</w:t>
            </w:r>
            <w:r w:rsidR="004B748F" w:rsidRPr="007D508F">
              <w:rPr>
                <w:rFonts w:ascii="Verdana" w:hAnsi="Verdana"/>
                <w:sz w:val="20"/>
                <w:szCs w:val="20"/>
              </w:rPr>
              <w:t xml:space="preserve"> so many times that </w:t>
            </w:r>
            <w:r w:rsidR="00241E02" w:rsidRPr="007D508F">
              <w:rPr>
                <w:rFonts w:ascii="Verdana" w:hAnsi="Verdana"/>
                <w:sz w:val="20"/>
                <w:szCs w:val="20"/>
              </w:rPr>
              <w:t xml:space="preserve">it </w:t>
            </w:r>
            <w:r w:rsidR="004B748F" w:rsidRPr="007D508F">
              <w:rPr>
                <w:rFonts w:ascii="Verdana" w:hAnsi="Verdana"/>
                <w:sz w:val="20"/>
                <w:szCs w:val="20"/>
              </w:rPr>
              <w:t xml:space="preserve">can be considered as abandoned or </w:t>
            </w:r>
            <w:r w:rsidR="008F2B1B" w:rsidRPr="007D508F">
              <w:rPr>
                <w:rFonts w:ascii="Verdana" w:hAnsi="Verdana"/>
                <w:sz w:val="20"/>
                <w:szCs w:val="20"/>
              </w:rPr>
              <w:t xml:space="preserve">breach of the standards would result in a better planning outcome for the local area or such variation will be in the public interest. None applies in this instance. </w:t>
            </w:r>
          </w:p>
          <w:p w14:paraId="1D56745C" w14:textId="77777777" w:rsidR="00531E9D" w:rsidRDefault="00C20EDA" w:rsidP="00C706BC">
            <w:pPr>
              <w:rPr>
                <w:rFonts w:ascii="Verdana" w:hAnsi="Verdana"/>
                <w:sz w:val="20"/>
                <w:szCs w:val="20"/>
              </w:rPr>
            </w:pPr>
            <w:r w:rsidRPr="007D508F">
              <w:rPr>
                <w:rFonts w:ascii="Verdana" w:hAnsi="Verdana"/>
                <w:sz w:val="20"/>
                <w:szCs w:val="20"/>
              </w:rPr>
              <w:t>And b) offer of 1 ILU measuring a</w:t>
            </w:r>
            <w:r w:rsidR="00FD7CC7" w:rsidRPr="007D508F">
              <w:rPr>
                <w:rFonts w:ascii="Verdana" w:hAnsi="Verdana"/>
                <w:sz w:val="20"/>
                <w:szCs w:val="20"/>
              </w:rPr>
              <w:t>n</w:t>
            </w:r>
            <w:r w:rsidRPr="007D508F">
              <w:rPr>
                <w:rFonts w:ascii="Verdana" w:hAnsi="Verdana"/>
                <w:sz w:val="20"/>
                <w:szCs w:val="20"/>
              </w:rPr>
              <w:t xml:space="preserve"> area of </w:t>
            </w:r>
            <w:r w:rsidR="00BB2B0F" w:rsidRPr="007D508F">
              <w:rPr>
                <w:rFonts w:ascii="Verdana" w:hAnsi="Verdana"/>
                <w:sz w:val="20"/>
                <w:szCs w:val="20"/>
              </w:rPr>
              <w:t>approximately 49m</w:t>
            </w:r>
            <w:r w:rsidR="00BB2B0F" w:rsidRPr="007D508F">
              <w:rPr>
                <w:rFonts w:ascii="Verdana" w:hAnsi="Verdana"/>
                <w:sz w:val="20"/>
                <w:szCs w:val="20"/>
                <w:vertAlign w:val="superscript"/>
              </w:rPr>
              <w:t>2</w:t>
            </w:r>
            <w:r w:rsidR="00BB2B0F" w:rsidRPr="007D508F">
              <w:rPr>
                <w:rFonts w:ascii="Verdana" w:hAnsi="Verdana"/>
                <w:sz w:val="20"/>
                <w:szCs w:val="20"/>
              </w:rPr>
              <w:t xml:space="preserve"> is not a </w:t>
            </w:r>
            <w:r w:rsidR="00242F9B" w:rsidRPr="007D508F">
              <w:rPr>
                <w:rFonts w:ascii="Verdana" w:hAnsi="Verdana"/>
                <w:sz w:val="20"/>
                <w:szCs w:val="20"/>
              </w:rPr>
              <w:t xml:space="preserve">public benefit of such scale </w:t>
            </w:r>
            <w:r w:rsidR="00C95659" w:rsidRPr="007D508F">
              <w:rPr>
                <w:rFonts w:ascii="Verdana" w:hAnsi="Verdana"/>
                <w:sz w:val="20"/>
                <w:szCs w:val="20"/>
              </w:rPr>
              <w:t xml:space="preserve">that variation of height standard can be considered </w:t>
            </w:r>
            <w:r w:rsidR="00DF7260" w:rsidRPr="007D508F">
              <w:rPr>
                <w:rFonts w:ascii="Verdana" w:hAnsi="Verdana"/>
                <w:sz w:val="20"/>
                <w:szCs w:val="20"/>
              </w:rPr>
              <w:t>as</w:t>
            </w:r>
            <w:r w:rsidR="00C95659" w:rsidRPr="007D508F">
              <w:rPr>
                <w:rFonts w:ascii="Verdana" w:hAnsi="Verdana"/>
                <w:sz w:val="20"/>
                <w:szCs w:val="20"/>
              </w:rPr>
              <w:t xml:space="preserve"> outweigh</w:t>
            </w:r>
            <w:r w:rsidR="00DF7260" w:rsidRPr="007D508F">
              <w:rPr>
                <w:rFonts w:ascii="Verdana" w:hAnsi="Verdana"/>
                <w:sz w:val="20"/>
                <w:szCs w:val="20"/>
              </w:rPr>
              <w:t xml:space="preserve">ed. </w:t>
            </w:r>
          </w:p>
          <w:p w14:paraId="267473A3" w14:textId="2E2214B2" w:rsidR="00AD510E" w:rsidRPr="007D508F" w:rsidRDefault="00531E9D" w:rsidP="00C706BC">
            <w:pPr>
              <w:rPr>
                <w:rFonts w:ascii="Verdana" w:hAnsi="Verdana"/>
                <w:sz w:val="20"/>
                <w:szCs w:val="20"/>
              </w:rPr>
            </w:pPr>
            <w:r>
              <w:rPr>
                <w:rFonts w:ascii="Verdana" w:hAnsi="Verdana"/>
                <w:sz w:val="20"/>
                <w:szCs w:val="20"/>
              </w:rPr>
              <w:t xml:space="preserve">Lastly, please be advised that Council’s Environmental Health Section recommended a 2m high acoustic wall around the </w:t>
            </w:r>
            <w:r w:rsidR="003B2E55">
              <w:rPr>
                <w:rFonts w:ascii="Verdana" w:hAnsi="Verdana"/>
                <w:sz w:val="20"/>
                <w:szCs w:val="20"/>
              </w:rPr>
              <w:t xml:space="preserve">plant area on the third floor which will further add to the overall bulk of the building.  </w:t>
            </w:r>
            <w:r w:rsidR="00242F9B" w:rsidRPr="007D508F">
              <w:rPr>
                <w:rFonts w:ascii="Verdana" w:hAnsi="Verdana"/>
                <w:sz w:val="20"/>
                <w:szCs w:val="20"/>
              </w:rPr>
              <w:t xml:space="preserve"> </w:t>
            </w:r>
          </w:p>
        </w:tc>
      </w:tr>
      <w:tr w:rsidR="007A536D" w:rsidRPr="007D508F" w14:paraId="0F221B8F" w14:textId="77777777" w:rsidTr="00B569C5">
        <w:tc>
          <w:tcPr>
            <w:tcW w:w="9016" w:type="dxa"/>
            <w:shd w:val="clear" w:color="auto" w:fill="F2F2F2" w:themeFill="background1" w:themeFillShade="F2"/>
          </w:tcPr>
          <w:p w14:paraId="3F0FB260" w14:textId="77777777" w:rsidR="007A536D" w:rsidRPr="007D508F" w:rsidRDefault="007A536D" w:rsidP="00375972">
            <w:pPr>
              <w:rPr>
                <w:rFonts w:ascii="Verdana" w:hAnsi="Verdana"/>
                <w:i/>
                <w:iCs/>
                <w:sz w:val="20"/>
                <w:szCs w:val="20"/>
              </w:rPr>
            </w:pPr>
            <w:r w:rsidRPr="007D508F">
              <w:rPr>
                <w:rFonts w:ascii="Verdana" w:hAnsi="Verdana"/>
                <w:i/>
                <w:iCs/>
                <w:sz w:val="20"/>
                <w:szCs w:val="20"/>
              </w:rPr>
              <w:lastRenderedPageBreak/>
              <w:t xml:space="preserve">6. The Applicant amended the design as requested by the Randwick Design Excellence Panel (DEP) because of a meeting held on 19 March 2021. The Council assessment report does not include information which details all the changes associated with the Amended DA in Table 2A. The Addendum SEE attached includes all the information to demonstrate comparatively the changes. </w:t>
            </w:r>
          </w:p>
          <w:p w14:paraId="583AD1A8" w14:textId="77777777" w:rsidR="007A536D" w:rsidRPr="007D508F" w:rsidRDefault="007A536D" w:rsidP="00375972">
            <w:pPr>
              <w:rPr>
                <w:rFonts w:ascii="Verdana" w:hAnsi="Verdana"/>
                <w:i/>
                <w:iCs/>
                <w:sz w:val="20"/>
                <w:szCs w:val="20"/>
              </w:rPr>
            </w:pPr>
            <w:r w:rsidRPr="007D508F">
              <w:rPr>
                <w:rFonts w:ascii="Verdana" w:hAnsi="Verdana"/>
                <w:i/>
                <w:iCs/>
                <w:sz w:val="20"/>
                <w:szCs w:val="20"/>
              </w:rPr>
              <w:t xml:space="preserve">The DEP notes advised: </w:t>
            </w:r>
          </w:p>
          <w:p w14:paraId="638A107E" w14:textId="77777777" w:rsidR="007A536D" w:rsidRPr="007D508F" w:rsidRDefault="007A536D" w:rsidP="00375972">
            <w:pPr>
              <w:rPr>
                <w:rFonts w:ascii="Verdana" w:hAnsi="Verdana"/>
                <w:b/>
                <w:bCs/>
                <w:i/>
                <w:iCs/>
                <w:sz w:val="20"/>
                <w:szCs w:val="20"/>
              </w:rPr>
            </w:pPr>
            <w:r w:rsidRPr="007D508F">
              <w:rPr>
                <w:rFonts w:ascii="Verdana" w:hAnsi="Verdana"/>
                <w:b/>
                <w:bCs/>
                <w:i/>
                <w:iCs/>
                <w:sz w:val="20"/>
                <w:szCs w:val="20"/>
              </w:rPr>
              <w:t xml:space="preserve">SUMMARY AND RECOMMENDATIONS </w:t>
            </w:r>
          </w:p>
          <w:p w14:paraId="42A79248" w14:textId="77777777" w:rsidR="007A536D" w:rsidRPr="007D508F" w:rsidRDefault="007A536D" w:rsidP="00375972">
            <w:pPr>
              <w:rPr>
                <w:rFonts w:ascii="Verdana" w:hAnsi="Verdana"/>
                <w:i/>
                <w:iCs/>
                <w:sz w:val="20"/>
                <w:szCs w:val="20"/>
              </w:rPr>
            </w:pPr>
            <w:r w:rsidRPr="007D508F">
              <w:rPr>
                <w:rFonts w:ascii="Verdana" w:hAnsi="Verdana"/>
                <w:i/>
                <w:iCs/>
                <w:sz w:val="20"/>
                <w:szCs w:val="20"/>
              </w:rPr>
              <w:t xml:space="preserve">The Panel encourages this development and supports the replacement of substandard seniors housing in the area and acknowledges the response to some of the previous comments. However, there are a number of issues listed above which still need to be addressed, predominantly the south elevation, the extent of landscaping and the further set back from the north of both the second-floor plan and the third-floor plan.  </w:t>
            </w:r>
          </w:p>
          <w:p w14:paraId="6F3CEB77" w14:textId="1C747FB7" w:rsidR="007A536D" w:rsidRPr="007D508F" w:rsidRDefault="007A536D" w:rsidP="00C706BC">
            <w:pPr>
              <w:rPr>
                <w:rFonts w:ascii="Verdana" w:hAnsi="Verdana"/>
                <w:sz w:val="20"/>
                <w:szCs w:val="20"/>
              </w:rPr>
            </w:pPr>
            <w:r w:rsidRPr="007D508F">
              <w:rPr>
                <w:rFonts w:ascii="Verdana" w:hAnsi="Verdana"/>
                <w:i/>
                <w:iCs/>
                <w:sz w:val="20"/>
                <w:szCs w:val="20"/>
              </w:rPr>
              <w:t>The Applicant responded with amended architectural drawings which were supervised by the Urban Design Peer Reviewer Matthew Pullinger to address each of the matters raised by the DEP (see attached). The Council staff would not forward the amended design to the DEP for reconsideration.</w:t>
            </w:r>
          </w:p>
        </w:tc>
      </w:tr>
      <w:tr w:rsidR="00B71F21" w:rsidRPr="007D508F" w14:paraId="10123C8B" w14:textId="77777777" w:rsidTr="005C06E2">
        <w:tc>
          <w:tcPr>
            <w:tcW w:w="9016" w:type="dxa"/>
          </w:tcPr>
          <w:p w14:paraId="4982E391" w14:textId="2AD46001" w:rsidR="00B71F21" w:rsidRPr="007D508F" w:rsidRDefault="00434448" w:rsidP="00375972">
            <w:pPr>
              <w:rPr>
                <w:rFonts w:ascii="Verdana" w:hAnsi="Verdana"/>
                <w:sz w:val="20"/>
                <w:szCs w:val="20"/>
              </w:rPr>
            </w:pPr>
            <w:r w:rsidRPr="007D508F">
              <w:rPr>
                <w:rFonts w:ascii="Verdana" w:hAnsi="Verdana"/>
                <w:sz w:val="20"/>
                <w:szCs w:val="20"/>
              </w:rPr>
              <w:t>Comment:</w:t>
            </w:r>
          </w:p>
          <w:p w14:paraId="250F30F1" w14:textId="5EA0D1B6" w:rsidR="00B71F21" w:rsidRPr="007D508F" w:rsidRDefault="00434448" w:rsidP="00E91AB9">
            <w:pPr>
              <w:rPr>
                <w:rFonts w:ascii="Verdana" w:hAnsi="Verdana"/>
                <w:sz w:val="20"/>
                <w:szCs w:val="20"/>
              </w:rPr>
            </w:pPr>
            <w:r w:rsidRPr="007D508F">
              <w:rPr>
                <w:rFonts w:ascii="Verdana" w:hAnsi="Verdana"/>
                <w:sz w:val="20"/>
                <w:szCs w:val="20"/>
              </w:rPr>
              <w:t xml:space="preserve">All the details submitted with the development application is available to the consent authority for their review during the determination process. The assessment is carried out in accordance with the provisions of Section 4.15 of the Act. </w:t>
            </w:r>
            <w:r w:rsidR="00540AD1" w:rsidRPr="007D508F">
              <w:rPr>
                <w:rFonts w:ascii="Verdana" w:hAnsi="Verdana"/>
                <w:sz w:val="20"/>
                <w:szCs w:val="20"/>
              </w:rPr>
              <w:t xml:space="preserve">The information not </w:t>
            </w:r>
            <w:r w:rsidR="007B2231" w:rsidRPr="007D508F">
              <w:rPr>
                <w:rFonts w:ascii="Verdana" w:hAnsi="Verdana"/>
                <w:sz w:val="20"/>
                <w:szCs w:val="20"/>
              </w:rPr>
              <w:t>discussed</w:t>
            </w:r>
            <w:r w:rsidR="00540AD1" w:rsidRPr="007D508F">
              <w:rPr>
                <w:rFonts w:ascii="Verdana" w:hAnsi="Verdana"/>
                <w:sz w:val="20"/>
                <w:szCs w:val="20"/>
              </w:rPr>
              <w:t xml:space="preserve"> in the report was </w:t>
            </w:r>
            <w:r w:rsidR="007B2231" w:rsidRPr="007D508F">
              <w:rPr>
                <w:rFonts w:ascii="Verdana" w:hAnsi="Verdana"/>
                <w:sz w:val="20"/>
                <w:szCs w:val="20"/>
              </w:rPr>
              <w:t xml:space="preserve">simply </w:t>
            </w:r>
            <w:r w:rsidR="00540AD1" w:rsidRPr="007D508F">
              <w:rPr>
                <w:rFonts w:ascii="Verdana" w:hAnsi="Verdana"/>
                <w:sz w:val="20"/>
                <w:szCs w:val="20"/>
              </w:rPr>
              <w:t xml:space="preserve">not considered relevant for the </w:t>
            </w:r>
            <w:r w:rsidR="007C3678" w:rsidRPr="007D508F">
              <w:rPr>
                <w:rFonts w:ascii="Verdana" w:hAnsi="Verdana"/>
                <w:sz w:val="20"/>
                <w:szCs w:val="20"/>
              </w:rPr>
              <w:t>report</w:t>
            </w:r>
            <w:r w:rsidR="00CA55A9" w:rsidRPr="007D508F">
              <w:rPr>
                <w:rFonts w:ascii="Verdana" w:hAnsi="Verdana"/>
                <w:sz w:val="20"/>
                <w:szCs w:val="20"/>
              </w:rPr>
              <w:t>;</w:t>
            </w:r>
            <w:r w:rsidR="007C3678" w:rsidRPr="007D508F">
              <w:rPr>
                <w:rFonts w:ascii="Verdana" w:hAnsi="Verdana"/>
                <w:sz w:val="20"/>
                <w:szCs w:val="20"/>
              </w:rPr>
              <w:t xml:space="preserve"> but it was</w:t>
            </w:r>
            <w:r w:rsidR="00EC687E" w:rsidRPr="007D508F">
              <w:rPr>
                <w:rFonts w:ascii="Verdana" w:hAnsi="Verdana"/>
                <w:sz w:val="20"/>
                <w:szCs w:val="20"/>
              </w:rPr>
              <w:t xml:space="preserve"> not to provide inadequate or incomplete information</w:t>
            </w:r>
            <w:r w:rsidR="00870E27">
              <w:rPr>
                <w:rFonts w:ascii="Verdana" w:hAnsi="Verdana"/>
                <w:sz w:val="20"/>
                <w:szCs w:val="20"/>
              </w:rPr>
              <w:t xml:space="preserve"> to SECPP.</w:t>
            </w:r>
            <w:r w:rsidR="00EC687E" w:rsidRPr="007D508F">
              <w:rPr>
                <w:rFonts w:ascii="Verdana" w:hAnsi="Verdana"/>
                <w:sz w:val="20"/>
                <w:szCs w:val="20"/>
              </w:rPr>
              <w:t xml:space="preserve"> </w:t>
            </w:r>
          </w:p>
          <w:p w14:paraId="4D960A34" w14:textId="4758F023" w:rsidR="00EC687E" w:rsidRPr="007D508F" w:rsidRDefault="0058690D" w:rsidP="00E91AB9">
            <w:pPr>
              <w:rPr>
                <w:rFonts w:ascii="Verdana" w:hAnsi="Verdana"/>
                <w:sz w:val="20"/>
                <w:szCs w:val="20"/>
              </w:rPr>
            </w:pPr>
            <w:r w:rsidRPr="007D508F">
              <w:rPr>
                <w:rFonts w:ascii="Verdana" w:hAnsi="Verdana"/>
                <w:sz w:val="20"/>
                <w:szCs w:val="20"/>
              </w:rPr>
              <w:t xml:space="preserve">The DEP of Randwick Council specifically noted </w:t>
            </w:r>
            <w:r w:rsidR="00B43C55" w:rsidRPr="007D508F">
              <w:rPr>
                <w:rFonts w:ascii="Verdana" w:hAnsi="Verdana"/>
                <w:sz w:val="20"/>
                <w:szCs w:val="20"/>
              </w:rPr>
              <w:t xml:space="preserve">the building bulk, its relationship with the existing built character, side setbacks and landscaping. The proposed changes in response were not considered to go far enough to adequately address those concerns. For this reason, the amended plans were not </w:t>
            </w:r>
            <w:r w:rsidR="00CA55A9" w:rsidRPr="007D508F">
              <w:rPr>
                <w:rFonts w:ascii="Verdana" w:hAnsi="Verdana"/>
                <w:sz w:val="20"/>
                <w:szCs w:val="20"/>
              </w:rPr>
              <w:t>referred</w:t>
            </w:r>
            <w:r w:rsidR="00B43C55" w:rsidRPr="007D508F">
              <w:rPr>
                <w:rFonts w:ascii="Verdana" w:hAnsi="Verdana"/>
                <w:sz w:val="20"/>
                <w:szCs w:val="20"/>
              </w:rPr>
              <w:t xml:space="preserve"> to DPE for their reconsideration. </w:t>
            </w:r>
          </w:p>
        </w:tc>
      </w:tr>
      <w:tr w:rsidR="00D63D91" w:rsidRPr="007D508F" w14:paraId="6D9A6056" w14:textId="77777777" w:rsidTr="00100974">
        <w:tc>
          <w:tcPr>
            <w:tcW w:w="9016" w:type="dxa"/>
          </w:tcPr>
          <w:p w14:paraId="3EE83732" w14:textId="1D82BAB9" w:rsidR="00D63D91" w:rsidRPr="007D508F" w:rsidRDefault="002832BF" w:rsidP="00C706BC">
            <w:pPr>
              <w:rPr>
                <w:rFonts w:ascii="Verdana" w:hAnsi="Verdana"/>
                <w:b/>
                <w:bCs/>
                <w:i/>
                <w:iCs/>
                <w:sz w:val="20"/>
                <w:szCs w:val="20"/>
              </w:rPr>
            </w:pPr>
            <w:r w:rsidRPr="007D508F">
              <w:rPr>
                <w:rFonts w:ascii="Verdana" w:hAnsi="Verdana"/>
                <w:b/>
                <w:bCs/>
                <w:i/>
                <w:iCs/>
                <w:sz w:val="20"/>
                <w:szCs w:val="20"/>
              </w:rPr>
              <w:t>APPLICANT’S ADDITIONAL RESPONSES TO REASONS FOR REFUSAL</w:t>
            </w:r>
          </w:p>
        </w:tc>
      </w:tr>
      <w:tr w:rsidR="00A96B11" w:rsidRPr="007D508F" w14:paraId="29645AE8" w14:textId="77777777" w:rsidTr="00B569C5">
        <w:tc>
          <w:tcPr>
            <w:tcW w:w="9016" w:type="dxa"/>
            <w:shd w:val="clear" w:color="auto" w:fill="F2F2F2" w:themeFill="background1" w:themeFillShade="F2"/>
          </w:tcPr>
          <w:p w14:paraId="59C4F42A" w14:textId="77777777" w:rsidR="00A96B11" w:rsidRPr="007D508F" w:rsidRDefault="00A96B11" w:rsidP="00D5418E">
            <w:pPr>
              <w:rPr>
                <w:rFonts w:ascii="Verdana" w:hAnsi="Verdana"/>
                <w:i/>
                <w:iCs/>
                <w:sz w:val="20"/>
                <w:szCs w:val="20"/>
              </w:rPr>
            </w:pPr>
            <w:r w:rsidRPr="007D508F">
              <w:rPr>
                <w:rFonts w:ascii="Verdana" w:hAnsi="Verdana"/>
                <w:i/>
                <w:iCs/>
                <w:sz w:val="20"/>
                <w:szCs w:val="20"/>
              </w:rPr>
              <w:lastRenderedPageBreak/>
              <w:t xml:space="preserve">7. The Applicant has reviewed the reasons for refusal and states as follows: </w:t>
            </w:r>
          </w:p>
          <w:p w14:paraId="73D7DEF9" w14:textId="77777777" w:rsidR="00A96B11" w:rsidRPr="007D508F" w:rsidRDefault="00A96B11" w:rsidP="00D5418E">
            <w:pPr>
              <w:rPr>
                <w:rFonts w:ascii="Verdana" w:hAnsi="Verdana"/>
                <w:i/>
                <w:iCs/>
                <w:sz w:val="20"/>
                <w:szCs w:val="20"/>
              </w:rPr>
            </w:pPr>
            <w:r w:rsidRPr="007D508F">
              <w:rPr>
                <w:rFonts w:ascii="Verdana" w:hAnsi="Verdana"/>
                <w:i/>
                <w:iCs/>
                <w:sz w:val="20"/>
                <w:szCs w:val="20"/>
              </w:rPr>
              <w:t xml:space="preserve"> A.  Reason 1(a) and 1(b):- </w:t>
            </w:r>
          </w:p>
          <w:p w14:paraId="3B91EFFE" w14:textId="77777777" w:rsidR="00A96B11" w:rsidRPr="007D508F" w:rsidRDefault="00A96B11" w:rsidP="00D5418E">
            <w:pPr>
              <w:rPr>
                <w:rFonts w:ascii="Verdana" w:hAnsi="Verdana"/>
                <w:i/>
                <w:iCs/>
                <w:sz w:val="20"/>
                <w:szCs w:val="20"/>
              </w:rPr>
            </w:pPr>
            <w:r w:rsidRPr="007D508F">
              <w:rPr>
                <w:rFonts w:ascii="Verdana" w:hAnsi="Verdana"/>
                <w:i/>
                <w:iCs/>
                <w:sz w:val="20"/>
                <w:szCs w:val="20"/>
              </w:rPr>
              <w:t xml:space="preserve">Consideration has been given to the amenity impacts of the development on surrounding residential properties and it is noted that no substantive evidence of impacts has been outlined in the Council’s report including: </w:t>
            </w:r>
          </w:p>
          <w:p w14:paraId="68B0AEB9" w14:textId="77777777" w:rsidR="00A96B11" w:rsidRPr="007D508F" w:rsidRDefault="00A96B11" w:rsidP="00357F7F">
            <w:pPr>
              <w:rPr>
                <w:rFonts w:ascii="Verdana" w:hAnsi="Verdana"/>
                <w:i/>
                <w:iCs/>
                <w:sz w:val="20"/>
                <w:szCs w:val="20"/>
              </w:rPr>
            </w:pPr>
            <w:r w:rsidRPr="007D508F">
              <w:rPr>
                <w:rFonts w:ascii="Verdana" w:hAnsi="Verdana"/>
                <w:i/>
                <w:iCs/>
                <w:sz w:val="20"/>
                <w:szCs w:val="20"/>
              </w:rPr>
              <w:t>(a) Overshadowing. In respect of overshadowing, shadow diagrams have been provided which demonstrate the majority of the impacts are onto Frenchmans Road due to South-North orientation of the block. It is demonstrated by the information provided that the impacts on residential property in McLennan Avenue and Astolat Street are minimised by the provision of adequate setbacks and modulation in the building form;</w:t>
            </w:r>
          </w:p>
          <w:p w14:paraId="5D2BEC09" w14:textId="77777777" w:rsidR="00A96B11" w:rsidRPr="007D508F" w:rsidRDefault="00A96B11" w:rsidP="008E24C5">
            <w:pPr>
              <w:rPr>
                <w:rFonts w:ascii="Verdana" w:hAnsi="Verdana"/>
                <w:i/>
                <w:iCs/>
                <w:sz w:val="20"/>
                <w:szCs w:val="20"/>
              </w:rPr>
            </w:pPr>
            <w:r w:rsidRPr="007D508F">
              <w:rPr>
                <w:rFonts w:ascii="Verdana" w:hAnsi="Verdana"/>
                <w:i/>
                <w:iCs/>
                <w:sz w:val="20"/>
                <w:szCs w:val="20"/>
              </w:rPr>
              <w:t xml:space="preserve">(b) Privacy issues </w:t>
            </w:r>
          </w:p>
          <w:p w14:paraId="790B06A2" w14:textId="77777777" w:rsidR="00A96B11" w:rsidRPr="007D508F" w:rsidRDefault="00A96B11" w:rsidP="008E24C5">
            <w:pPr>
              <w:rPr>
                <w:rFonts w:ascii="Verdana" w:hAnsi="Verdana"/>
                <w:i/>
                <w:iCs/>
                <w:sz w:val="20"/>
                <w:szCs w:val="20"/>
              </w:rPr>
            </w:pPr>
            <w:r w:rsidRPr="007D508F">
              <w:rPr>
                <w:rFonts w:ascii="Verdana" w:hAnsi="Verdana"/>
                <w:i/>
                <w:iCs/>
                <w:sz w:val="20"/>
                <w:szCs w:val="20"/>
              </w:rPr>
              <w:t xml:space="preserve">The Applicant considers that adequate consideration has been given to reducing the potential for overlooking towards adjoining residential properties by reduction in window sizes, offsetting of windows and other design elements. However, if this is still considered a reason for refusal the Applicant would be happy to accept a condition of consent, either requiring windows to be translucently glazed or a deferred commencement condition to amend glazing on all elevations to be treated appropriately to reduce the potential for overlooking. </w:t>
            </w:r>
          </w:p>
          <w:p w14:paraId="370A6E3C" w14:textId="77777777" w:rsidR="00A96B11" w:rsidRPr="007D508F" w:rsidRDefault="00A96B11" w:rsidP="008E24C5">
            <w:pPr>
              <w:rPr>
                <w:rFonts w:ascii="Verdana" w:hAnsi="Verdana"/>
                <w:i/>
                <w:iCs/>
                <w:sz w:val="20"/>
                <w:szCs w:val="20"/>
              </w:rPr>
            </w:pPr>
            <w:r w:rsidRPr="007D508F">
              <w:rPr>
                <w:rFonts w:ascii="Verdana" w:hAnsi="Verdana"/>
                <w:i/>
                <w:iCs/>
                <w:sz w:val="20"/>
                <w:szCs w:val="20"/>
              </w:rPr>
              <w:t xml:space="preserve">(c) View Loss </w:t>
            </w:r>
          </w:p>
          <w:p w14:paraId="2633D787" w14:textId="77777777" w:rsidR="00A96B11" w:rsidRPr="007D508F" w:rsidRDefault="00A96B11" w:rsidP="008E24C5">
            <w:pPr>
              <w:rPr>
                <w:rFonts w:ascii="Verdana" w:hAnsi="Verdana"/>
                <w:i/>
                <w:iCs/>
                <w:sz w:val="20"/>
                <w:szCs w:val="20"/>
              </w:rPr>
            </w:pPr>
            <w:r w:rsidRPr="007D508F">
              <w:rPr>
                <w:rFonts w:ascii="Verdana" w:hAnsi="Verdana"/>
                <w:i/>
                <w:iCs/>
                <w:sz w:val="20"/>
                <w:szCs w:val="20"/>
              </w:rPr>
              <w:t xml:space="preserve">No view loss concerns arise as a result of the development. </w:t>
            </w:r>
          </w:p>
          <w:p w14:paraId="2DE026D1" w14:textId="77777777" w:rsidR="00A96B11" w:rsidRPr="007D508F" w:rsidRDefault="00A96B11" w:rsidP="003D60C6">
            <w:pPr>
              <w:rPr>
                <w:rFonts w:ascii="Verdana" w:hAnsi="Verdana"/>
                <w:i/>
                <w:iCs/>
                <w:sz w:val="20"/>
                <w:szCs w:val="20"/>
              </w:rPr>
            </w:pPr>
            <w:r w:rsidRPr="007D508F">
              <w:rPr>
                <w:rFonts w:ascii="Verdana" w:hAnsi="Verdana"/>
                <w:i/>
                <w:iCs/>
                <w:sz w:val="20"/>
                <w:szCs w:val="20"/>
              </w:rPr>
              <w:t>(d) Visual bulk and scale</w:t>
            </w:r>
          </w:p>
          <w:p w14:paraId="0B3DF26D" w14:textId="77777777" w:rsidR="00A96B11" w:rsidRPr="007D508F" w:rsidRDefault="00A96B11" w:rsidP="003D60C6">
            <w:pPr>
              <w:rPr>
                <w:rFonts w:ascii="Verdana" w:hAnsi="Verdana"/>
                <w:i/>
                <w:iCs/>
                <w:sz w:val="20"/>
                <w:szCs w:val="20"/>
              </w:rPr>
            </w:pPr>
            <w:r w:rsidRPr="007D508F">
              <w:rPr>
                <w:rFonts w:ascii="Verdana" w:hAnsi="Verdana"/>
                <w:i/>
                <w:iCs/>
                <w:sz w:val="20"/>
                <w:szCs w:val="20"/>
              </w:rPr>
              <w:t xml:space="preserve">The bulk and scale of the proposal has been reduced. The development overwhelmingly complies with the permissible FSR and the height non-compliance is about 12% through the centre of the site. The proposed development includes substantial setbacks which provide for generous offsets of building form from adjoining residential properties. </w:t>
            </w:r>
          </w:p>
          <w:p w14:paraId="737D4F9E" w14:textId="42D9888F" w:rsidR="00A96B11" w:rsidRPr="007D508F" w:rsidRDefault="00A96B11" w:rsidP="00A32963">
            <w:pPr>
              <w:rPr>
                <w:rFonts w:ascii="Verdana" w:hAnsi="Verdana"/>
                <w:sz w:val="20"/>
                <w:szCs w:val="20"/>
              </w:rPr>
            </w:pPr>
            <w:r w:rsidRPr="007D508F">
              <w:rPr>
                <w:rFonts w:ascii="Verdana" w:hAnsi="Verdana"/>
                <w:i/>
                <w:iCs/>
                <w:sz w:val="20"/>
                <w:szCs w:val="20"/>
              </w:rPr>
              <w:t>As outlined above the bulk and scale does not result in any substantive environmental amenity impacts.</w:t>
            </w:r>
          </w:p>
        </w:tc>
      </w:tr>
      <w:tr w:rsidR="00566FFA" w:rsidRPr="007D508F" w14:paraId="76FEF38E" w14:textId="77777777" w:rsidTr="00301590">
        <w:tc>
          <w:tcPr>
            <w:tcW w:w="9016" w:type="dxa"/>
          </w:tcPr>
          <w:p w14:paraId="3B327378" w14:textId="3A014961" w:rsidR="00566FFA" w:rsidRPr="007D508F" w:rsidRDefault="00D6505B" w:rsidP="00D5418E">
            <w:pPr>
              <w:rPr>
                <w:rFonts w:ascii="Verdana" w:hAnsi="Verdana"/>
                <w:sz w:val="20"/>
                <w:szCs w:val="20"/>
              </w:rPr>
            </w:pPr>
            <w:r w:rsidRPr="007D508F">
              <w:rPr>
                <w:rFonts w:ascii="Verdana" w:hAnsi="Verdana"/>
                <w:sz w:val="20"/>
                <w:szCs w:val="20"/>
              </w:rPr>
              <w:t>Comment</w:t>
            </w:r>
            <w:r w:rsidR="00CA55A9" w:rsidRPr="007D508F">
              <w:rPr>
                <w:rFonts w:ascii="Verdana" w:hAnsi="Verdana"/>
                <w:sz w:val="20"/>
                <w:szCs w:val="20"/>
              </w:rPr>
              <w:t>:</w:t>
            </w:r>
            <w:r w:rsidRPr="007D508F">
              <w:rPr>
                <w:rFonts w:ascii="Verdana" w:hAnsi="Verdana"/>
                <w:sz w:val="20"/>
                <w:szCs w:val="20"/>
              </w:rPr>
              <w:t xml:space="preserve"> </w:t>
            </w:r>
          </w:p>
          <w:p w14:paraId="03B2A209" w14:textId="47B920A2" w:rsidR="00192D56" w:rsidRPr="007D508F" w:rsidRDefault="00EC5EC7" w:rsidP="00D5418E">
            <w:pPr>
              <w:rPr>
                <w:rFonts w:ascii="Verdana" w:hAnsi="Verdana"/>
                <w:sz w:val="20"/>
                <w:szCs w:val="20"/>
              </w:rPr>
            </w:pPr>
            <w:r w:rsidRPr="007D508F">
              <w:rPr>
                <w:rFonts w:ascii="Verdana" w:hAnsi="Verdana"/>
                <w:sz w:val="20"/>
                <w:szCs w:val="20"/>
              </w:rPr>
              <w:t>Council’s</w:t>
            </w:r>
            <w:r w:rsidR="00192D56" w:rsidRPr="007D508F">
              <w:rPr>
                <w:rFonts w:ascii="Verdana" w:hAnsi="Verdana"/>
                <w:sz w:val="20"/>
                <w:szCs w:val="20"/>
              </w:rPr>
              <w:t xml:space="preserve"> assessment report </w:t>
            </w:r>
            <w:r w:rsidR="002D2D7C" w:rsidRPr="007D508F">
              <w:rPr>
                <w:rFonts w:ascii="Verdana" w:hAnsi="Verdana"/>
                <w:sz w:val="20"/>
                <w:szCs w:val="20"/>
              </w:rPr>
              <w:t>discuss</w:t>
            </w:r>
            <w:r w:rsidR="0033713A" w:rsidRPr="007D508F">
              <w:rPr>
                <w:rFonts w:ascii="Verdana" w:hAnsi="Verdana"/>
                <w:sz w:val="20"/>
                <w:szCs w:val="20"/>
              </w:rPr>
              <w:t>es</w:t>
            </w:r>
            <w:r w:rsidR="002D2D7C" w:rsidRPr="007D508F">
              <w:rPr>
                <w:rFonts w:ascii="Verdana" w:hAnsi="Verdana"/>
                <w:sz w:val="20"/>
                <w:szCs w:val="20"/>
              </w:rPr>
              <w:t xml:space="preserve"> the </w:t>
            </w:r>
            <w:r w:rsidR="0033713A" w:rsidRPr="007D508F">
              <w:rPr>
                <w:rFonts w:ascii="Verdana" w:hAnsi="Verdana"/>
                <w:sz w:val="20"/>
                <w:szCs w:val="20"/>
              </w:rPr>
              <w:t xml:space="preserve">overall </w:t>
            </w:r>
            <w:r w:rsidR="002D2D7C" w:rsidRPr="007D508F">
              <w:rPr>
                <w:rFonts w:ascii="Verdana" w:hAnsi="Verdana"/>
                <w:sz w:val="20"/>
                <w:szCs w:val="20"/>
              </w:rPr>
              <w:t xml:space="preserve">adverse impacts </w:t>
            </w:r>
            <w:r w:rsidR="0033713A" w:rsidRPr="007D508F">
              <w:rPr>
                <w:rFonts w:ascii="Verdana" w:hAnsi="Verdana"/>
                <w:sz w:val="20"/>
                <w:szCs w:val="20"/>
              </w:rPr>
              <w:t xml:space="preserve">on the immediate neighbouring properties </w:t>
            </w:r>
            <w:r w:rsidR="002D2D7C" w:rsidRPr="007D508F">
              <w:rPr>
                <w:rFonts w:ascii="Verdana" w:hAnsi="Verdana"/>
                <w:sz w:val="20"/>
                <w:szCs w:val="20"/>
              </w:rPr>
              <w:t xml:space="preserve"> resulting from an </w:t>
            </w:r>
            <w:r w:rsidR="00B90EF2" w:rsidRPr="007D508F">
              <w:rPr>
                <w:rFonts w:ascii="Verdana" w:hAnsi="Verdana"/>
                <w:sz w:val="20"/>
                <w:szCs w:val="20"/>
              </w:rPr>
              <w:t>un</w:t>
            </w:r>
            <w:r w:rsidR="002D2D7C" w:rsidRPr="007D508F">
              <w:rPr>
                <w:rFonts w:ascii="Verdana" w:hAnsi="Verdana"/>
                <w:sz w:val="20"/>
                <w:szCs w:val="20"/>
              </w:rPr>
              <w:t xml:space="preserve">acceptable bulk, inadequate side setback, </w:t>
            </w:r>
            <w:r w:rsidR="00B90EF2" w:rsidRPr="007D508F">
              <w:rPr>
                <w:rFonts w:ascii="Verdana" w:hAnsi="Verdana"/>
                <w:sz w:val="20"/>
                <w:szCs w:val="20"/>
              </w:rPr>
              <w:t xml:space="preserve">inadequate </w:t>
            </w:r>
            <w:r w:rsidR="002D2D7C" w:rsidRPr="007D508F">
              <w:rPr>
                <w:rFonts w:ascii="Verdana" w:hAnsi="Verdana"/>
                <w:sz w:val="20"/>
                <w:szCs w:val="20"/>
              </w:rPr>
              <w:t xml:space="preserve">building separation, </w:t>
            </w:r>
            <w:r w:rsidR="0099484A" w:rsidRPr="007D508F">
              <w:rPr>
                <w:rFonts w:ascii="Verdana" w:hAnsi="Verdana"/>
                <w:sz w:val="20"/>
                <w:szCs w:val="20"/>
              </w:rPr>
              <w:t xml:space="preserve">excessive FSR, </w:t>
            </w:r>
            <w:r w:rsidR="0011312F" w:rsidRPr="007D508F">
              <w:rPr>
                <w:rFonts w:ascii="Verdana" w:hAnsi="Verdana"/>
                <w:sz w:val="20"/>
                <w:szCs w:val="20"/>
              </w:rPr>
              <w:t xml:space="preserve">non complying </w:t>
            </w:r>
            <w:r w:rsidR="0099484A" w:rsidRPr="007D508F">
              <w:rPr>
                <w:rFonts w:ascii="Verdana" w:hAnsi="Verdana"/>
                <w:sz w:val="20"/>
                <w:szCs w:val="20"/>
              </w:rPr>
              <w:t>height a</w:t>
            </w:r>
            <w:r w:rsidR="00CB5C01" w:rsidRPr="007D508F">
              <w:rPr>
                <w:rFonts w:ascii="Verdana" w:hAnsi="Verdana"/>
                <w:sz w:val="20"/>
                <w:szCs w:val="20"/>
              </w:rPr>
              <w:t>n</w:t>
            </w:r>
            <w:r w:rsidR="0099484A" w:rsidRPr="007D508F">
              <w:rPr>
                <w:rFonts w:ascii="Verdana" w:hAnsi="Verdana"/>
                <w:sz w:val="20"/>
                <w:szCs w:val="20"/>
              </w:rPr>
              <w:t>d external wall height</w:t>
            </w:r>
            <w:r w:rsidR="00B90EF2" w:rsidRPr="007D508F">
              <w:rPr>
                <w:rFonts w:ascii="Verdana" w:hAnsi="Verdana"/>
                <w:sz w:val="20"/>
                <w:szCs w:val="20"/>
              </w:rPr>
              <w:t xml:space="preserve"> and </w:t>
            </w:r>
            <w:r w:rsidR="00215E04" w:rsidRPr="007D508F">
              <w:rPr>
                <w:rFonts w:ascii="Verdana" w:hAnsi="Verdana"/>
                <w:sz w:val="20"/>
                <w:szCs w:val="20"/>
              </w:rPr>
              <w:t>minimal landscaping along the side setback</w:t>
            </w:r>
            <w:r w:rsidR="00B90EF2" w:rsidRPr="007D508F">
              <w:rPr>
                <w:rFonts w:ascii="Verdana" w:hAnsi="Verdana"/>
                <w:sz w:val="20"/>
                <w:szCs w:val="20"/>
              </w:rPr>
              <w:t xml:space="preserve">s. </w:t>
            </w:r>
            <w:r w:rsidR="00201C86" w:rsidRPr="007D508F">
              <w:rPr>
                <w:rFonts w:ascii="Verdana" w:hAnsi="Verdana"/>
                <w:sz w:val="20"/>
                <w:szCs w:val="20"/>
              </w:rPr>
              <w:t xml:space="preserve">The proposed visual bulk and scale is incompatible with the existing and desired future character of the area. </w:t>
            </w:r>
          </w:p>
        </w:tc>
      </w:tr>
      <w:tr w:rsidR="00904F20" w:rsidRPr="007D508F" w14:paraId="5B280916" w14:textId="77777777" w:rsidTr="00B569C5">
        <w:tc>
          <w:tcPr>
            <w:tcW w:w="9016" w:type="dxa"/>
            <w:shd w:val="clear" w:color="auto" w:fill="F2F2F2" w:themeFill="background1" w:themeFillShade="F2"/>
          </w:tcPr>
          <w:p w14:paraId="5AB5B421" w14:textId="77777777" w:rsidR="00904F20" w:rsidRPr="007D508F" w:rsidRDefault="00904F20" w:rsidP="009242E4">
            <w:pPr>
              <w:rPr>
                <w:rFonts w:ascii="Verdana" w:hAnsi="Verdana"/>
                <w:i/>
                <w:iCs/>
                <w:sz w:val="20"/>
                <w:szCs w:val="20"/>
              </w:rPr>
            </w:pPr>
            <w:r w:rsidRPr="007D508F">
              <w:rPr>
                <w:rFonts w:ascii="Verdana" w:hAnsi="Verdana"/>
                <w:i/>
                <w:iCs/>
                <w:sz w:val="20"/>
                <w:szCs w:val="20"/>
              </w:rPr>
              <w:t xml:space="preserve">B. Reasons 1(e) </w:t>
            </w:r>
          </w:p>
          <w:p w14:paraId="07CC463C" w14:textId="77777777" w:rsidR="00904F20" w:rsidRPr="007D508F" w:rsidRDefault="00904F20" w:rsidP="009242E4">
            <w:pPr>
              <w:rPr>
                <w:rFonts w:ascii="Verdana" w:hAnsi="Verdana"/>
                <w:i/>
                <w:iCs/>
                <w:sz w:val="20"/>
                <w:szCs w:val="20"/>
              </w:rPr>
            </w:pPr>
            <w:r w:rsidRPr="007D508F">
              <w:rPr>
                <w:rFonts w:ascii="Verdana" w:hAnsi="Verdana"/>
                <w:i/>
                <w:iCs/>
                <w:sz w:val="20"/>
                <w:szCs w:val="20"/>
              </w:rPr>
              <w:t xml:space="preserve">The provisions in clause 48 are a ‘do not refuse’ provision. The Council does not have a statutory LEP control in respect of landscaping. On this basis consideration of the operation of the landscaping needs to be considered. The proposal has provided for landscaped areas and private open spaces which are operationally useful to the type of use proposed and submits that the extent, type, and location of these areas served a practical benefit to the type of residents who the owner / operator, as an experienced aged care operator, considers will use the facility. </w:t>
            </w:r>
          </w:p>
          <w:p w14:paraId="48F787F8" w14:textId="3865775E" w:rsidR="00904F20" w:rsidRPr="007D508F" w:rsidRDefault="00904F20" w:rsidP="00A32963">
            <w:pPr>
              <w:rPr>
                <w:rFonts w:ascii="Verdana" w:hAnsi="Verdana"/>
                <w:sz w:val="20"/>
                <w:szCs w:val="20"/>
              </w:rPr>
            </w:pPr>
            <w:r w:rsidRPr="007D508F">
              <w:rPr>
                <w:rFonts w:ascii="Verdana" w:hAnsi="Verdana"/>
                <w:i/>
                <w:iCs/>
                <w:sz w:val="20"/>
                <w:szCs w:val="20"/>
              </w:rPr>
              <w:lastRenderedPageBreak/>
              <w:t>The Applicant states that on the basis that the clause 48 landscape control is not a development standard, consideration has to go further than a basic numerical consideration but rather to the underlying objectives of the landscaped area and in this regard the Applicant puts to the SECPP that the area of landscaping provided is meaningful and have practical purpose.</w:t>
            </w:r>
          </w:p>
        </w:tc>
      </w:tr>
      <w:tr w:rsidR="00904F20" w:rsidRPr="007D508F" w14:paraId="5F041E4D" w14:textId="77777777" w:rsidTr="00C214EC">
        <w:tc>
          <w:tcPr>
            <w:tcW w:w="9016" w:type="dxa"/>
          </w:tcPr>
          <w:p w14:paraId="644046D9" w14:textId="171531FF" w:rsidR="00904F20" w:rsidRPr="007D508F" w:rsidRDefault="00904F20" w:rsidP="009242E4">
            <w:pPr>
              <w:rPr>
                <w:rFonts w:ascii="Verdana" w:hAnsi="Verdana"/>
                <w:sz w:val="20"/>
                <w:szCs w:val="20"/>
              </w:rPr>
            </w:pPr>
            <w:r w:rsidRPr="007D508F">
              <w:rPr>
                <w:rFonts w:ascii="Verdana" w:hAnsi="Verdana"/>
                <w:sz w:val="20"/>
                <w:szCs w:val="20"/>
              </w:rPr>
              <w:lastRenderedPageBreak/>
              <w:t>Comment</w:t>
            </w:r>
            <w:r w:rsidR="005E5FC3" w:rsidRPr="007D508F">
              <w:rPr>
                <w:rFonts w:ascii="Verdana" w:hAnsi="Verdana"/>
                <w:sz w:val="20"/>
                <w:szCs w:val="20"/>
              </w:rPr>
              <w:t>:</w:t>
            </w:r>
          </w:p>
          <w:p w14:paraId="676178AA" w14:textId="62CA3281" w:rsidR="00904F20" w:rsidRPr="007D508F" w:rsidRDefault="001F263C" w:rsidP="009242E4">
            <w:pPr>
              <w:rPr>
                <w:rFonts w:ascii="Verdana" w:hAnsi="Verdana"/>
                <w:sz w:val="20"/>
                <w:szCs w:val="20"/>
              </w:rPr>
            </w:pPr>
            <w:r w:rsidRPr="007D508F">
              <w:rPr>
                <w:rFonts w:ascii="Verdana" w:hAnsi="Verdana"/>
                <w:sz w:val="20"/>
                <w:szCs w:val="20"/>
              </w:rPr>
              <w:t>The applicant</w:t>
            </w:r>
            <w:r w:rsidR="005E5FC3" w:rsidRPr="007D508F">
              <w:rPr>
                <w:rFonts w:ascii="Verdana" w:hAnsi="Verdana"/>
                <w:sz w:val="20"/>
                <w:szCs w:val="20"/>
              </w:rPr>
              <w:t xml:space="preserve">’s </w:t>
            </w:r>
            <w:r w:rsidR="00902566" w:rsidRPr="007D508F">
              <w:rPr>
                <w:rFonts w:ascii="Verdana" w:hAnsi="Verdana"/>
                <w:sz w:val="20"/>
                <w:szCs w:val="20"/>
              </w:rPr>
              <w:t>arguments</w:t>
            </w:r>
            <w:r w:rsidRPr="007D508F">
              <w:rPr>
                <w:rFonts w:ascii="Verdana" w:hAnsi="Verdana"/>
                <w:sz w:val="20"/>
                <w:szCs w:val="20"/>
              </w:rPr>
              <w:t xml:space="preserve"> that the operator knows better what type and exten</w:t>
            </w:r>
            <w:r w:rsidR="001150B3" w:rsidRPr="007D508F">
              <w:rPr>
                <w:rFonts w:ascii="Verdana" w:hAnsi="Verdana"/>
                <w:sz w:val="20"/>
                <w:szCs w:val="20"/>
              </w:rPr>
              <w:t>t</w:t>
            </w:r>
            <w:r w:rsidRPr="007D508F">
              <w:rPr>
                <w:rFonts w:ascii="Verdana" w:hAnsi="Verdana"/>
                <w:sz w:val="20"/>
                <w:szCs w:val="20"/>
              </w:rPr>
              <w:t xml:space="preserve"> of landscaping is required and will be used by their residents is absurd. </w:t>
            </w:r>
            <w:r w:rsidR="001138BF" w:rsidRPr="007D508F">
              <w:rPr>
                <w:rFonts w:ascii="Verdana" w:hAnsi="Verdana"/>
                <w:sz w:val="20"/>
                <w:szCs w:val="20"/>
              </w:rPr>
              <w:t xml:space="preserve">Planning needs to look beyond such tunnel views. Landscaping for any development is not only for the users of that building but also to offer a buffer </w:t>
            </w:r>
            <w:r w:rsidR="00107322" w:rsidRPr="007D508F">
              <w:rPr>
                <w:rFonts w:ascii="Verdana" w:hAnsi="Verdana"/>
                <w:sz w:val="20"/>
                <w:szCs w:val="20"/>
              </w:rPr>
              <w:t>and an enjoyable separation from adjoining land uses</w:t>
            </w:r>
            <w:r w:rsidR="006F3347" w:rsidRPr="007D508F">
              <w:rPr>
                <w:rFonts w:ascii="Verdana" w:hAnsi="Verdana"/>
                <w:sz w:val="20"/>
                <w:szCs w:val="20"/>
              </w:rPr>
              <w:t xml:space="preserve"> in addition to several environmental benefits</w:t>
            </w:r>
            <w:r w:rsidR="00107322" w:rsidRPr="007D508F">
              <w:rPr>
                <w:rFonts w:ascii="Verdana" w:hAnsi="Verdana"/>
                <w:sz w:val="20"/>
                <w:szCs w:val="20"/>
              </w:rPr>
              <w:t xml:space="preserve">. </w:t>
            </w:r>
            <w:r w:rsidR="00A22FB3" w:rsidRPr="007D508F">
              <w:rPr>
                <w:rFonts w:ascii="Verdana" w:hAnsi="Verdana"/>
                <w:sz w:val="20"/>
                <w:szCs w:val="20"/>
              </w:rPr>
              <w:t xml:space="preserve">Regardless of the hierarchy of landscape controls, the proposal offers inadequate landscaped area particularly where it is most needed </w:t>
            </w:r>
            <w:r w:rsidR="000D6FB5" w:rsidRPr="007D508F">
              <w:rPr>
                <w:rFonts w:ascii="Verdana" w:hAnsi="Verdana"/>
                <w:sz w:val="20"/>
                <w:szCs w:val="20"/>
              </w:rPr>
              <w:t>i.e.,</w:t>
            </w:r>
            <w:r w:rsidR="00A22FB3" w:rsidRPr="007D508F">
              <w:rPr>
                <w:rFonts w:ascii="Verdana" w:hAnsi="Verdana"/>
                <w:sz w:val="20"/>
                <w:szCs w:val="20"/>
              </w:rPr>
              <w:t xml:space="preserve"> offering a </w:t>
            </w:r>
            <w:r w:rsidR="000D6FB5" w:rsidRPr="007D508F">
              <w:rPr>
                <w:rFonts w:ascii="Verdana" w:hAnsi="Verdana"/>
                <w:sz w:val="20"/>
                <w:szCs w:val="20"/>
              </w:rPr>
              <w:t xml:space="preserve">reasonable </w:t>
            </w:r>
            <w:r w:rsidR="00A22FB3" w:rsidRPr="007D508F">
              <w:rPr>
                <w:rFonts w:ascii="Verdana" w:hAnsi="Verdana"/>
                <w:sz w:val="20"/>
                <w:szCs w:val="20"/>
              </w:rPr>
              <w:t xml:space="preserve">separation with adjoining properties. </w:t>
            </w:r>
          </w:p>
          <w:p w14:paraId="09C17DCF" w14:textId="2133D71C" w:rsidR="00482FA7" w:rsidRPr="007D508F" w:rsidRDefault="00482FA7" w:rsidP="009242E4">
            <w:pPr>
              <w:rPr>
                <w:rFonts w:ascii="Verdana" w:hAnsi="Verdana"/>
                <w:sz w:val="20"/>
                <w:szCs w:val="20"/>
              </w:rPr>
            </w:pPr>
            <w:r w:rsidRPr="007D508F">
              <w:rPr>
                <w:rFonts w:ascii="Verdana" w:hAnsi="Verdana"/>
                <w:sz w:val="20"/>
                <w:szCs w:val="20"/>
              </w:rPr>
              <w:t>Further</w:t>
            </w:r>
            <w:r w:rsidR="00CE2BD7" w:rsidRPr="007D508F">
              <w:rPr>
                <w:rFonts w:ascii="Verdana" w:hAnsi="Verdana"/>
                <w:sz w:val="20"/>
                <w:szCs w:val="20"/>
              </w:rPr>
              <w:t>,</w:t>
            </w:r>
            <w:r w:rsidRPr="007D508F">
              <w:rPr>
                <w:rFonts w:ascii="Verdana" w:hAnsi="Verdana"/>
                <w:sz w:val="20"/>
                <w:szCs w:val="20"/>
              </w:rPr>
              <w:t xml:space="preserve"> designing </w:t>
            </w:r>
            <w:r w:rsidR="00CE2BD7" w:rsidRPr="007D508F">
              <w:rPr>
                <w:rFonts w:ascii="Verdana" w:hAnsi="Verdana"/>
                <w:sz w:val="20"/>
                <w:szCs w:val="20"/>
              </w:rPr>
              <w:t xml:space="preserve">and </w:t>
            </w:r>
            <w:r w:rsidRPr="007D508F">
              <w:rPr>
                <w:rFonts w:ascii="Verdana" w:hAnsi="Verdana"/>
                <w:sz w:val="20"/>
                <w:szCs w:val="20"/>
              </w:rPr>
              <w:t xml:space="preserve">offering landscaping based on the </w:t>
            </w:r>
            <w:r w:rsidR="00902566" w:rsidRPr="007D508F">
              <w:rPr>
                <w:rFonts w:ascii="Verdana" w:hAnsi="Verdana"/>
                <w:sz w:val="20"/>
                <w:szCs w:val="20"/>
              </w:rPr>
              <w:t xml:space="preserve">useability of the end users is considered disrespectful towards future residents of the proposed development. </w:t>
            </w:r>
          </w:p>
        </w:tc>
      </w:tr>
      <w:tr w:rsidR="0008418F" w:rsidRPr="007D508F" w14:paraId="6B5CCE73" w14:textId="77777777" w:rsidTr="00B569C5">
        <w:tc>
          <w:tcPr>
            <w:tcW w:w="9016" w:type="dxa"/>
            <w:shd w:val="clear" w:color="auto" w:fill="F2F2F2" w:themeFill="background1" w:themeFillShade="F2"/>
          </w:tcPr>
          <w:p w14:paraId="16FB5D08" w14:textId="77777777" w:rsidR="0008418F" w:rsidRPr="007D508F" w:rsidRDefault="0008418F" w:rsidP="00BF5F02">
            <w:pPr>
              <w:rPr>
                <w:rFonts w:ascii="Verdana" w:hAnsi="Verdana"/>
                <w:i/>
                <w:iCs/>
                <w:sz w:val="20"/>
                <w:szCs w:val="20"/>
              </w:rPr>
            </w:pPr>
            <w:r w:rsidRPr="007D508F">
              <w:rPr>
                <w:rFonts w:ascii="Verdana" w:hAnsi="Verdana"/>
                <w:i/>
                <w:iCs/>
                <w:sz w:val="20"/>
                <w:szCs w:val="20"/>
              </w:rPr>
              <w:t xml:space="preserve">C. Reason 2(a) </w:t>
            </w:r>
          </w:p>
          <w:p w14:paraId="442CCC28" w14:textId="77777777" w:rsidR="0008418F" w:rsidRPr="007D508F" w:rsidRDefault="0008418F" w:rsidP="00BF5F02">
            <w:pPr>
              <w:rPr>
                <w:rFonts w:ascii="Verdana" w:hAnsi="Verdana"/>
                <w:i/>
                <w:iCs/>
                <w:sz w:val="20"/>
                <w:szCs w:val="20"/>
              </w:rPr>
            </w:pPr>
            <w:r w:rsidRPr="007D508F">
              <w:rPr>
                <w:rFonts w:ascii="Verdana" w:hAnsi="Verdana"/>
                <w:i/>
                <w:iCs/>
                <w:sz w:val="20"/>
                <w:szCs w:val="20"/>
              </w:rPr>
              <w:t xml:space="preserve">This reason does not account for the entirety of the objectives contained in the Council’s LEP. The objectives in the R3 zone are (those irrelevant objectives are struck through): </w:t>
            </w:r>
          </w:p>
          <w:p w14:paraId="05A0E29E" w14:textId="77777777" w:rsidR="0008418F" w:rsidRPr="007D508F" w:rsidRDefault="0008418F" w:rsidP="00BF5F02">
            <w:pPr>
              <w:pStyle w:val="ListParagraph"/>
              <w:numPr>
                <w:ilvl w:val="0"/>
                <w:numId w:val="8"/>
              </w:numPr>
              <w:rPr>
                <w:rFonts w:ascii="Verdana" w:hAnsi="Verdana"/>
                <w:i/>
                <w:iCs/>
                <w:sz w:val="20"/>
                <w:szCs w:val="20"/>
              </w:rPr>
            </w:pPr>
            <w:r w:rsidRPr="007D508F">
              <w:rPr>
                <w:rFonts w:ascii="Verdana" w:hAnsi="Verdana"/>
                <w:i/>
                <w:iCs/>
                <w:sz w:val="20"/>
                <w:szCs w:val="20"/>
              </w:rPr>
              <w:t xml:space="preserve">To provide for the housing needs of the community within a medium density residential environment. </w:t>
            </w:r>
          </w:p>
          <w:p w14:paraId="082270D6" w14:textId="77777777" w:rsidR="0008418F" w:rsidRPr="007D508F" w:rsidRDefault="0008418F" w:rsidP="00BF5F02">
            <w:pPr>
              <w:pStyle w:val="ListParagraph"/>
              <w:numPr>
                <w:ilvl w:val="0"/>
                <w:numId w:val="8"/>
              </w:numPr>
              <w:rPr>
                <w:rFonts w:ascii="Verdana" w:hAnsi="Verdana"/>
                <w:i/>
                <w:iCs/>
                <w:sz w:val="20"/>
                <w:szCs w:val="20"/>
              </w:rPr>
            </w:pPr>
            <w:r w:rsidRPr="007D508F">
              <w:rPr>
                <w:rFonts w:ascii="Verdana" w:hAnsi="Verdana"/>
                <w:i/>
                <w:iCs/>
                <w:sz w:val="20"/>
                <w:szCs w:val="20"/>
              </w:rPr>
              <w:t>To provide a variety of housing types within a medium density residential environment.</w:t>
            </w:r>
          </w:p>
          <w:p w14:paraId="2C4F8661" w14:textId="77777777" w:rsidR="0008418F" w:rsidRPr="007D508F" w:rsidRDefault="0008418F" w:rsidP="00CF6F2D">
            <w:pPr>
              <w:pStyle w:val="ListParagraph"/>
              <w:numPr>
                <w:ilvl w:val="0"/>
                <w:numId w:val="8"/>
              </w:numPr>
              <w:rPr>
                <w:rFonts w:ascii="Verdana" w:hAnsi="Verdana"/>
                <w:i/>
                <w:iCs/>
                <w:sz w:val="20"/>
                <w:szCs w:val="20"/>
              </w:rPr>
            </w:pPr>
            <w:r w:rsidRPr="007D508F">
              <w:rPr>
                <w:rFonts w:ascii="Verdana" w:hAnsi="Verdana"/>
                <w:i/>
                <w:iCs/>
                <w:sz w:val="20"/>
                <w:szCs w:val="20"/>
              </w:rPr>
              <w:t xml:space="preserve">To enable other land uses that provide facilities or services to meet the day to day </w:t>
            </w:r>
          </w:p>
          <w:p w14:paraId="01E2F967" w14:textId="77777777" w:rsidR="0008418F" w:rsidRPr="007D508F" w:rsidRDefault="0008418F" w:rsidP="00CF6F2D">
            <w:pPr>
              <w:pStyle w:val="ListParagraph"/>
              <w:ind w:left="360"/>
              <w:rPr>
                <w:rFonts w:ascii="Verdana" w:hAnsi="Verdana"/>
                <w:i/>
                <w:iCs/>
                <w:sz w:val="20"/>
                <w:szCs w:val="20"/>
              </w:rPr>
            </w:pPr>
            <w:r w:rsidRPr="007D508F">
              <w:rPr>
                <w:rFonts w:ascii="Verdana" w:hAnsi="Verdana"/>
                <w:i/>
                <w:iCs/>
                <w:sz w:val="20"/>
                <w:szCs w:val="20"/>
              </w:rPr>
              <w:t xml:space="preserve">needs of residents. </w:t>
            </w:r>
          </w:p>
          <w:p w14:paraId="7B86A6CD" w14:textId="77777777" w:rsidR="0008418F" w:rsidRPr="007D508F" w:rsidRDefault="0008418F" w:rsidP="00CF6F2D">
            <w:pPr>
              <w:pStyle w:val="ListParagraph"/>
              <w:numPr>
                <w:ilvl w:val="0"/>
                <w:numId w:val="8"/>
              </w:numPr>
              <w:rPr>
                <w:rFonts w:ascii="Verdana" w:hAnsi="Verdana"/>
                <w:i/>
                <w:iCs/>
                <w:sz w:val="20"/>
                <w:szCs w:val="20"/>
              </w:rPr>
            </w:pPr>
            <w:r w:rsidRPr="007D508F">
              <w:rPr>
                <w:rFonts w:ascii="Verdana" w:hAnsi="Verdana"/>
                <w:i/>
                <w:iCs/>
                <w:sz w:val="20"/>
                <w:szCs w:val="20"/>
              </w:rPr>
              <w:t xml:space="preserve">To recognise the desirable elements of the existing streetscape and built form or, in </w:t>
            </w:r>
          </w:p>
          <w:p w14:paraId="77BA0420" w14:textId="77777777" w:rsidR="0008418F" w:rsidRPr="007D508F" w:rsidRDefault="0008418F" w:rsidP="00CF6F2D">
            <w:pPr>
              <w:pStyle w:val="ListParagraph"/>
              <w:ind w:left="360"/>
              <w:rPr>
                <w:rFonts w:ascii="Verdana" w:hAnsi="Verdana"/>
                <w:i/>
                <w:iCs/>
                <w:sz w:val="20"/>
                <w:szCs w:val="20"/>
              </w:rPr>
            </w:pPr>
            <w:r w:rsidRPr="007D508F">
              <w:rPr>
                <w:rFonts w:ascii="Verdana" w:hAnsi="Verdana"/>
                <w:i/>
                <w:iCs/>
                <w:sz w:val="20"/>
                <w:szCs w:val="20"/>
              </w:rPr>
              <w:t xml:space="preserve">precincts undergoing transition, that contribute to the desired future character of the area. </w:t>
            </w:r>
          </w:p>
          <w:p w14:paraId="363D47EC" w14:textId="77777777" w:rsidR="0008418F" w:rsidRPr="007D508F" w:rsidRDefault="0008418F" w:rsidP="00CF6F2D">
            <w:pPr>
              <w:pStyle w:val="ListParagraph"/>
              <w:numPr>
                <w:ilvl w:val="0"/>
                <w:numId w:val="8"/>
              </w:numPr>
              <w:rPr>
                <w:rFonts w:ascii="Verdana" w:hAnsi="Verdana"/>
                <w:i/>
                <w:iCs/>
                <w:sz w:val="20"/>
                <w:szCs w:val="20"/>
              </w:rPr>
            </w:pPr>
            <w:r w:rsidRPr="007D508F">
              <w:rPr>
                <w:rFonts w:ascii="Verdana" w:hAnsi="Verdana"/>
                <w:i/>
                <w:iCs/>
                <w:sz w:val="20"/>
                <w:szCs w:val="20"/>
              </w:rPr>
              <w:t xml:space="preserve">To protect the amenity of residents. </w:t>
            </w:r>
          </w:p>
          <w:p w14:paraId="67FCEBCB" w14:textId="77777777" w:rsidR="0008418F" w:rsidRPr="007D508F" w:rsidRDefault="0008418F" w:rsidP="00CF6F2D">
            <w:pPr>
              <w:pStyle w:val="ListParagraph"/>
              <w:numPr>
                <w:ilvl w:val="0"/>
                <w:numId w:val="8"/>
              </w:numPr>
              <w:rPr>
                <w:rFonts w:ascii="Verdana" w:hAnsi="Verdana"/>
                <w:i/>
                <w:iCs/>
                <w:sz w:val="20"/>
                <w:szCs w:val="20"/>
              </w:rPr>
            </w:pPr>
            <w:r w:rsidRPr="007D508F">
              <w:rPr>
                <w:rFonts w:ascii="Verdana" w:hAnsi="Verdana"/>
                <w:i/>
                <w:iCs/>
                <w:sz w:val="20"/>
                <w:szCs w:val="20"/>
              </w:rPr>
              <w:t xml:space="preserve">To encourage housing affordability. </w:t>
            </w:r>
          </w:p>
          <w:p w14:paraId="6CEEBA63" w14:textId="77777777" w:rsidR="0008418F" w:rsidRPr="007D508F" w:rsidRDefault="0008418F" w:rsidP="00CF6F2D">
            <w:pPr>
              <w:pStyle w:val="ListParagraph"/>
              <w:numPr>
                <w:ilvl w:val="0"/>
                <w:numId w:val="8"/>
              </w:numPr>
              <w:rPr>
                <w:rFonts w:ascii="Verdana" w:hAnsi="Verdana"/>
                <w:i/>
                <w:iCs/>
                <w:sz w:val="20"/>
                <w:szCs w:val="20"/>
              </w:rPr>
            </w:pPr>
            <w:r w:rsidRPr="007D508F">
              <w:rPr>
                <w:rFonts w:ascii="Verdana" w:hAnsi="Verdana"/>
                <w:i/>
                <w:iCs/>
                <w:sz w:val="20"/>
                <w:szCs w:val="20"/>
              </w:rPr>
              <w:t xml:space="preserve">To enable small-scale business uses in existing commercial buildings. </w:t>
            </w:r>
          </w:p>
          <w:p w14:paraId="312B760E" w14:textId="56CFAD68" w:rsidR="0008418F" w:rsidRPr="007D508F" w:rsidRDefault="0008418F" w:rsidP="00A32963">
            <w:pPr>
              <w:rPr>
                <w:rFonts w:ascii="Verdana" w:hAnsi="Verdana"/>
                <w:sz w:val="20"/>
                <w:szCs w:val="20"/>
              </w:rPr>
            </w:pPr>
            <w:r w:rsidRPr="007D508F">
              <w:rPr>
                <w:rFonts w:ascii="Verdana" w:hAnsi="Verdana"/>
                <w:i/>
                <w:iCs/>
                <w:sz w:val="20"/>
                <w:szCs w:val="20"/>
              </w:rPr>
              <w:t>The Applicant has outlined that the Council has not articulated in a meaningful way the amenity impacts on adjoining residents in their report but similarly has not noted the other objectives in the R3 zone. The Applicant states that the proposed development is renewing aging aged care stock in a way which services the community and provides for affordable housing for the community.</w:t>
            </w:r>
          </w:p>
        </w:tc>
      </w:tr>
      <w:tr w:rsidR="0008418F" w:rsidRPr="007D508F" w14:paraId="365FA1DD" w14:textId="77777777" w:rsidTr="0069744E">
        <w:tc>
          <w:tcPr>
            <w:tcW w:w="9016" w:type="dxa"/>
          </w:tcPr>
          <w:p w14:paraId="12370D4F" w14:textId="77777777" w:rsidR="0008418F" w:rsidRPr="007D508F" w:rsidRDefault="0008418F" w:rsidP="00BF5F02">
            <w:pPr>
              <w:rPr>
                <w:rFonts w:ascii="Verdana" w:hAnsi="Verdana"/>
                <w:sz w:val="20"/>
                <w:szCs w:val="20"/>
              </w:rPr>
            </w:pPr>
            <w:r w:rsidRPr="007D508F">
              <w:rPr>
                <w:rFonts w:ascii="Verdana" w:hAnsi="Verdana"/>
                <w:sz w:val="20"/>
                <w:szCs w:val="20"/>
              </w:rPr>
              <w:t>Comment:</w:t>
            </w:r>
          </w:p>
          <w:p w14:paraId="36410742" w14:textId="45B440A7" w:rsidR="0008418F" w:rsidRPr="007D508F" w:rsidRDefault="0008418F" w:rsidP="00BF5F02">
            <w:pPr>
              <w:rPr>
                <w:rFonts w:ascii="Verdana" w:hAnsi="Verdana"/>
                <w:sz w:val="20"/>
                <w:szCs w:val="20"/>
              </w:rPr>
            </w:pPr>
            <w:r w:rsidRPr="007D508F">
              <w:rPr>
                <w:rFonts w:ascii="Verdana" w:hAnsi="Verdana"/>
                <w:sz w:val="20"/>
                <w:szCs w:val="20"/>
              </w:rPr>
              <w:t xml:space="preserve">This issue is discussed earlier in this addendum report. </w:t>
            </w:r>
            <w:r w:rsidR="002C6CBD" w:rsidRPr="007D508F">
              <w:rPr>
                <w:rFonts w:ascii="Verdana" w:hAnsi="Verdana"/>
                <w:sz w:val="20"/>
                <w:szCs w:val="20"/>
              </w:rPr>
              <w:t>Council</w:t>
            </w:r>
            <w:r w:rsidR="003D2F89" w:rsidRPr="007D508F">
              <w:rPr>
                <w:rFonts w:ascii="Verdana" w:hAnsi="Verdana"/>
                <w:sz w:val="20"/>
                <w:szCs w:val="20"/>
              </w:rPr>
              <w:t xml:space="preserve"> </w:t>
            </w:r>
            <w:r w:rsidR="00E02F82" w:rsidRPr="007D508F">
              <w:rPr>
                <w:rFonts w:ascii="Verdana" w:hAnsi="Verdana"/>
                <w:sz w:val="20"/>
                <w:szCs w:val="20"/>
              </w:rPr>
              <w:t xml:space="preserve">assessment </w:t>
            </w:r>
            <w:r w:rsidR="003D2F89" w:rsidRPr="007D508F">
              <w:rPr>
                <w:rFonts w:ascii="Verdana" w:hAnsi="Verdana"/>
                <w:sz w:val="20"/>
                <w:szCs w:val="20"/>
              </w:rPr>
              <w:t xml:space="preserve">report also acknowledges that the </w:t>
            </w:r>
            <w:r w:rsidR="005329A9" w:rsidRPr="007D508F">
              <w:rPr>
                <w:rFonts w:ascii="Verdana" w:hAnsi="Verdana"/>
                <w:sz w:val="20"/>
                <w:szCs w:val="20"/>
              </w:rPr>
              <w:t>existing facility</w:t>
            </w:r>
            <w:r w:rsidR="003D2F89" w:rsidRPr="007D508F">
              <w:rPr>
                <w:rFonts w:ascii="Verdana" w:hAnsi="Verdana"/>
                <w:sz w:val="20"/>
                <w:szCs w:val="20"/>
              </w:rPr>
              <w:t xml:space="preserve"> </w:t>
            </w:r>
            <w:r w:rsidR="00306143" w:rsidRPr="007D508F">
              <w:rPr>
                <w:rFonts w:ascii="Verdana" w:hAnsi="Verdana"/>
                <w:sz w:val="20"/>
                <w:szCs w:val="20"/>
              </w:rPr>
              <w:t xml:space="preserve">is in </w:t>
            </w:r>
            <w:r w:rsidR="006C3B19" w:rsidRPr="007D508F">
              <w:rPr>
                <w:rFonts w:ascii="Verdana" w:hAnsi="Verdana"/>
                <w:sz w:val="20"/>
                <w:szCs w:val="20"/>
              </w:rPr>
              <w:t>need</w:t>
            </w:r>
            <w:r w:rsidR="00E02F82" w:rsidRPr="007D508F">
              <w:rPr>
                <w:rFonts w:ascii="Verdana" w:hAnsi="Verdana"/>
                <w:sz w:val="20"/>
                <w:szCs w:val="20"/>
              </w:rPr>
              <w:t xml:space="preserve"> </w:t>
            </w:r>
            <w:r w:rsidR="00A10F71" w:rsidRPr="007D508F">
              <w:rPr>
                <w:rFonts w:ascii="Verdana" w:hAnsi="Verdana"/>
                <w:sz w:val="20"/>
                <w:szCs w:val="20"/>
              </w:rPr>
              <w:t>of</w:t>
            </w:r>
            <w:r w:rsidR="003D2F89" w:rsidRPr="007D508F">
              <w:rPr>
                <w:rFonts w:ascii="Verdana" w:hAnsi="Verdana"/>
                <w:sz w:val="20"/>
                <w:szCs w:val="20"/>
              </w:rPr>
              <w:t xml:space="preserve"> upgrading works to offer better facilities for </w:t>
            </w:r>
            <w:r w:rsidR="005315A9" w:rsidRPr="007D508F">
              <w:rPr>
                <w:rFonts w:ascii="Verdana" w:hAnsi="Verdana"/>
                <w:sz w:val="20"/>
                <w:szCs w:val="20"/>
              </w:rPr>
              <w:t xml:space="preserve">the area. However, what is being proposed is excessive and </w:t>
            </w:r>
            <w:r w:rsidR="00BC0FED" w:rsidRPr="007D508F">
              <w:rPr>
                <w:rFonts w:ascii="Verdana" w:hAnsi="Verdana"/>
                <w:sz w:val="20"/>
                <w:szCs w:val="20"/>
              </w:rPr>
              <w:t xml:space="preserve">geared towards </w:t>
            </w:r>
            <w:r w:rsidR="005315A9" w:rsidRPr="007D508F">
              <w:rPr>
                <w:rFonts w:ascii="Verdana" w:hAnsi="Verdana"/>
                <w:sz w:val="20"/>
                <w:szCs w:val="20"/>
              </w:rPr>
              <w:t>maximis</w:t>
            </w:r>
            <w:r w:rsidR="00252696" w:rsidRPr="007D508F">
              <w:rPr>
                <w:rFonts w:ascii="Verdana" w:hAnsi="Verdana"/>
                <w:sz w:val="20"/>
                <w:szCs w:val="20"/>
              </w:rPr>
              <w:t>ing</w:t>
            </w:r>
            <w:r w:rsidR="005315A9" w:rsidRPr="007D508F">
              <w:rPr>
                <w:rFonts w:ascii="Verdana" w:hAnsi="Verdana"/>
                <w:sz w:val="20"/>
                <w:szCs w:val="20"/>
              </w:rPr>
              <w:t xml:space="preserve"> </w:t>
            </w:r>
            <w:r w:rsidR="00335FB7" w:rsidRPr="007D508F">
              <w:rPr>
                <w:rFonts w:ascii="Verdana" w:hAnsi="Verdana"/>
                <w:sz w:val="20"/>
                <w:szCs w:val="20"/>
              </w:rPr>
              <w:t xml:space="preserve">the </w:t>
            </w:r>
            <w:r w:rsidR="005315A9" w:rsidRPr="007D508F">
              <w:rPr>
                <w:rFonts w:ascii="Verdana" w:hAnsi="Verdana"/>
                <w:sz w:val="20"/>
                <w:szCs w:val="20"/>
              </w:rPr>
              <w:t xml:space="preserve">GFA </w:t>
            </w:r>
            <w:r w:rsidR="00335FB7" w:rsidRPr="007D508F">
              <w:rPr>
                <w:rFonts w:ascii="Verdana" w:hAnsi="Verdana"/>
                <w:sz w:val="20"/>
                <w:szCs w:val="20"/>
              </w:rPr>
              <w:t>w</w:t>
            </w:r>
            <w:r w:rsidR="00D27EEF" w:rsidRPr="007D508F">
              <w:rPr>
                <w:rFonts w:ascii="Verdana" w:hAnsi="Verdana"/>
                <w:sz w:val="20"/>
                <w:szCs w:val="20"/>
              </w:rPr>
              <w:t>ith little care towards local context</w:t>
            </w:r>
            <w:r w:rsidR="004204E3" w:rsidRPr="007D508F">
              <w:rPr>
                <w:rFonts w:ascii="Verdana" w:hAnsi="Verdana"/>
                <w:sz w:val="20"/>
                <w:szCs w:val="20"/>
              </w:rPr>
              <w:t>.</w:t>
            </w:r>
            <w:r w:rsidR="00DB2F58" w:rsidRPr="007D508F">
              <w:rPr>
                <w:rFonts w:ascii="Verdana" w:hAnsi="Verdana"/>
                <w:sz w:val="20"/>
                <w:szCs w:val="20"/>
              </w:rPr>
              <w:t xml:space="preserve"> More bluntly it </w:t>
            </w:r>
            <w:r w:rsidR="00794D1E" w:rsidRPr="007D508F">
              <w:rPr>
                <w:rFonts w:ascii="Verdana" w:hAnsi="Verdana"/>
                <w:sz w:val="20"/>
                <w:szCs w:val="20"/>
              </w:rPr>
              <w:t xml:space="preserve">appears to be a commercially driven </w:t>
            </w:r>
            <w:r w:rsidR="005329A9" w:rsidRPr="007D508F">
              <w:rPr>
                <w:rFonts w:ascii="Verdana" w:hAnsi="Verdana"/>
                <w:sz w:val="20"/>
                <w:szCs w:val="20"/>
              </w:rPr>
              <w:t xml:space="preserve">project, </w:t>
            </w:r>
            <w:r w:rsidR="00A10F71" w:rsidRPr="007D508F">
              <w:rPr>
                <w:rFonts w:ascii="Verdana" w:hAnsi="Verdana"/>
                <w:sz w:val="20"/>
                <w:szCs w:val="20"/>
              </w:rPr>
              <w:t xml:space="preserve">with a </w:t>
            </w:r>
            <w:r w:rsidR="00794D1E" w:rsidRPr="007D508F">
              <w:rPr>
                <w:rFonts w:ascii="Verdana" w:hAnsi="Verdana"/>
                <w:sz w:val="20"/>
                <w:szCs w:val="20"/>
              </w:rPr>
              <w:t>desir</w:t>
            </w:r>
            <w:r w:rsidR="00A10F71" w:rsidRPr="007D508F">
              <w:rPr>
                <w:rFonts w:ascii="Verdana" w:hAnsi="Verdana"/>
                <w:sz w:val="20"/>
                <w:szCs w:val="20"/>
              </w:rPr>
              <w:t xml:space="preserve">e </w:t>
            </w:r>
            <w:r w:rsidR="00794D1E" w:rsidRPr="007D508F">
              <w:rPr>
                <w:rFonts w:ascii="Verdana" w:hAnsi="Verdana"/>
                <w:sz w:val="20"/>
                <w:szCs w:val="20"/>
              </w:rPr>
              <w:t xml:space="preserve">to maximise </w:t>
            </w:r>
            <w:r w:rsidR="00FB7BA2" w:rsidRPr="007D508F">
              <w:rPr>
                <w:rFonts w:ascii="Verdana" w:hAnsi="Verdana"/>
                <w:sz w:val="20"/>
                <w:szCs w:val="20"/>
              </w:rPr>
              <w:t xml:space="preserve">the </w:t>
            </w:r>
            <w:r w:rsidR="00794D1E" w:rsidRPr="007D508F">
              <w:rPr>
                <w:rFonts w:ascii="Verdana" w:hAnsi="Verdana"/>
                <w:sz w:val="20"/>
                <w:szCs w:val="20"/>
              </w:rPr>
              <w:t xml:space="preserve">GFA. </w:t>
            </w:r>
          </w:p>
          <w:p w14:paraId="5A8B8AFB" w14:textId="272FBCFC" w:rsidR="006C3B19" w:rsidRPr="007D508F" w:rsidRDefault="00330F7A" w:rsidP="00BF5F02">
            <w:pPr>
              <w:rPr>
                <w:rFonts w:ascii="Verdana" w:hAnsi="Verdana"/>
                <w:sz w:val="20"/>
                <w:szCs w:val="20"/>
              </w:rPr>
            </w:pPr>
            <w:r w:rsidRPr="007D508F">
              <w:rPr>
                <w:rFonts w:ascii="Verdana" w:hAnsi="Verdana"/>
                <w:sz w:val="20"/>
                <w:szCs w:val="20"/>
              </w:rPr>
              <w:t xml:space="preserve">Council’s report articulates the adverse impacts on the amenity of adjoining residents. </w:t>
            </w:r>
          </w:p>
        </w:tc>
      </w:tr>
      <w:tr w:rsidR="00203584" w:rsidRPr="007D508F" w14:paraId="776D8148" w14:textId="77777777" w:rsidTr="00B569C5">
        <w:tc>
          <w:tcPr>
            <w:tcW w:w="9016" w:type="dxa"/>
            <w:shd w:val="clear" w:color="auto" w:fill="F2F2F2" w:themeFill="background1" w:themeFillShade="F2"/>
          </w:tcPr>
          <w:p w14:paraId="1792BB17" w14:textId="77777777" w:rsidR="00203584" w:rsidRPr="007D508F" w:rsidRDefault="00203584" w:rsidP="00485132">
            <w:pPr>
              <w:rPr>
                <w:rFonts w:ascii="Verdana" w:hAnsi="Verdana"/>
                <w:i/>
                <w:iCs/>
                <w:sz w:val="20"/>
                <w:szCs w:val="20"/>
              </w:rPr>
            </w:pPr>
            <w:r w:rsidRPr="007D508F">
              <w:rPr>
                <w:rFonts w:ascii="Verdana" w:hAnsi="Verdana"/>
                <w:i/>
                <w:iCs/>
                <w:sz w:val="20"/>
                <w:szCs w:val="20"/>
              </w:rPr>
              <w:t xml:space="preserve">D. Reasons 2(b) and 2(c) </w:t>
            </w:r>
          </w:p>
          <w:p w14:paraId="73200ED6" w14:textId="77777777" w:rsidR="00203584" w:rsidRPr="007D508F" w:rsidRDefault="00203584" w:rsidP="00485132">
            <w:pPr>
              <w:rPr>
                <w:rFonts w:ascii="Verdana" w:hAnsi="Verdana"/>
                <w:i/>
                <w:iCs/>
                <w:sz w:val="20"/>
                <w:szCs w:val="20"/>
              </w:rPr>
            </w:pPr>
            <w:r w:rsidRPr="007D508F">
              <w:rPr>
                <w:rFonts w:ascii="Verdana" w:hAnsi="Verdana"/>
                <w:i/>
                <w:iCs/>
                <w:sz w:val="20"/>
                <w:szCs w:val="20"/>
              </w:rPr>
              <w:lastRenderedPageBreak/>
              <w:t xml:space="preserve">The Applicant submits that the FSR is compliant noting the comments in Paragraph 4 above. </w:t>
            </w:r>
          </w:p>
          <w:p w14:paraId="21C0AB04" w14:textId="45CFBB48" w:rsidR="00203584" w:rsidRPr="007D508F" w:rsidRDefault="00203584" w:rsidP="00A32963">
            <w:pPr>
              <w:rPr>
                <w:rFonts w:ascii="Verdana" w:hAnsi="Verdana"/>
                <w:sz w:val="20"/>
                <w:szCs w:val="20"/>
              </w:rPr>
            </w:pPr>
            <w:r w:rsidRPr="007D508F">
              <w:rPr>
                <w:rFonts w:ascii="Verdana" w:hAnsi="Verdana"/>
                <w:i/>
                <w:iCs/>
                <w:sz w:val="20"/>
                <w:szCs w:val="20"/>
              </w:rPr>
              <w:t>The Applicant concedes there is a small height breach which is supported by a Clause 4.6 submission which articulates why it is unreasonable and unnecessary to comply with the control. It includes adequate environmental planning ground which supports the position.</w:t>
            </w:r>
          </w:p>
        </w:tc>
      </w:tr>
      <w:tr w:rsidR="00203584" w:rsidRPr="007D508F" w14:paraId="48FA46DD" w14:textId="77777777" w:rsidTr="00C07D88">
        <w:tc>
          <w:tcPr>
            <w:tcW w:w="9016" w:type="dxa"/>
          </w:tcPr>
          <w:p w14:paraId="73E3EA7D" w14:textId="77777777" w:rsidR="00203584" w:rsidRPr="007D508F" w:rsidRDefault="00203584" w:rsidP="00485132">
            <w:pPr>
              <w:rPr>
                <w:rFonts w:ascii="Verdana" w:hAnsi="Verdana"/>
                <w:sz w:val="20"/>
                <w:szCs w:val="20"/>
              </w:rPr>
            </w:pPr>
            <w:r w:rsidRPr="007D508F">
              <w:rPr>
                <w:rFonts w:ascii="Verdana" w:hAnsi="Verdana"/>
                <w:sz w:val="20"/>
                <w:szCs w:val="20"/>
              </w:rPr>
              <w:lastRenderedPageBreak/>
              <w:t>Comment:</w:t>
            </w:r>
          </w:p>
          <w:p w14:paraId="556619D8" w14:textId="0B25F20F" w:rsidR="00203584" w:rsidRPr="007D508F" w:rsidRDefault="00546B21" w:rsidP="00485132">
            <w:pPr>
              <w:rPr>
                <w:rFonts w:ascii="Verdana" w:hAnsi="Verdana"/>
                <w:sz w:val="20"/>
                <w:szCs w:val="20"/>
              </w:rPr>
            </w:pPr>
            <w:r w:rsidRPr="007D508F">
              <w:rPr>
                <w:rFonts w:ascii="Verdana" w:hAnsi="Verdana"/>
                <w:sz w:val="20"/>
                <w:szCs w:val="20"/>
              </w:rPr>
              <w:t xml:space="preserve">In the absence of SCC, the FSR is not considered compliant. </w:t>
            </w:r>
            <w:r w:rsidR="00AA3408" w:rsidRPr="007D508F">
              <w:rPr>
                <w:rFonts w:ascii="Verdana" w:hAnsi="Verdana"/>
                <w:sz w:val="20"/>
                <w:szCs w:val="20"/>
              </w:rPr>
              <w:t>This issue</w:t>
            </w:r>
            <w:r w:rsidRPr="007D508F">
              <w:rPr>
                <w:rFonts w:ascii="Verdana" w:hAnsi="Verdana"/>
                <w:sz w:val="20"/>
                <w:szCs w:val="20"/>
              </w:rPr>
              <w:t xml:space="preserve"> is discussed above. </w:t>
            </w:r>
          </w:p>
        </w:tc>
      </w:tr>
      <w:tr w:rsidR="00BF3EDB" w:rsidRPr="007D508F" w14:paraId="70C470E8" w14:textId="77777777" w:rsidTr="00B569C5">
        <w:tc>
          <w:tcPr>
            <w:tcW w:w="9016" w:type="dxa"/>
            <w:shd w:val="clear" w:color="auto" w:fill="F2F2F2" w:themeFill="background1" w:themeFillShade="F2"/>
          </w:tcPr>
          <w:p w14:paraId="3333C82E" w14:textId="77777777" w:rsidR="00BF3EDB" w:rsidRPr="007D508F" w:rsidRDefault="00BF3EDB" w:rsidP="00146F49">
            <w:pPr>
              <w:rPr>
                <w:rFonts w:ascii="Verdana" w:hAnsi="Verdana"/>
                <w:i/>
                <w:iCs/>
                <w:sz w:val="20"/>
                <w:szCs w:val="20"/>
              </w:rPr>
            </w:pPr>
            <w:r w:rsidRPr="007D508F">
              <w:rPr>
                <w:rFonts w:ascii="Verdana" w:hAnsi="Verdana"/>
                <w:i/>
                <w:iCs/>
                <w:sz w:val="20"/>
                <w:szCs w:val="20"/>
              </w:rPr>
              <w:t xml:space="preserve">E. Reason 3 </w:t>
            </w:r>
          </w:p>
          <w:p w14:paraId="5462E3A7" w14:textId="1F79B636" w:rsidR="00BF3EDB" w:rsidRPr="007D508F" w:rsidRDefault="00BF3EDB" w:rsidP="00A32963">
            <w:pPr>
              <w:rPr>
                <w:rFonts w:ascii="Verdana" w:hAnsi="Verdana"/>
                <w:sz w:val="20"/>
                <w:szCs w:val="20"/>
              </w:rPr>
            </w:pPr>
            <w:r w:rsidRPr="007D508F">
              <w:rPr>
                <w:rFonts w:ascii="Verdana" w:hAnsi="Verdana"/>
                <w:i/>
                <w:iCs/>
                <w:sz w:val="20"/>
                <w:szCs w:val="20"/>
              </w:rPr>
              <w:t>The Applicant states that the consideration of the application against the provisions of the Randwick DCP are not a relevant consideration but even if they were, the development complies with the objectives of the said clauses</w:t>
            </w:r>
          </w:p>
        </w:tc>
      </w:tr>
      <w:tr w:rsidR="00BF3EDB" w:rsidRPr="007D508F" w14:paraId="2CA01EE6" w14:textId="77777777" w:rsidTr="006F5FE2">
        <w:tc>
          <w:tcPr>
            <w:tcW w:w="9016" w:type="dxa"/>
          </w:tcPr>
          <w:p w14:paraId="4A95BE5D" w14:textId="77777777" w:rsidR="00BF3EDB" w:rsidRPr="007D508F" w:rsidRDefault="002D41A4" w:rsidP="00146F49">
            <w:pPr>
              <w:rPr>
                <w:rFonts w:ascii="Verdana" w:hAnsi="Verdana"/>
                <w:sz w:val="20"/>
                <w:szCs w:val="20"/>
              </w:rPr>
            </w:pPr>
            <w:r w:rsidRPr="007D508F">
              <w:rPr>
                <w:rFonts w:ascii="Verdana" w:hAnsi="Verdana"/>
                <w:sz w:val="20"/>
                <w:szCs w:val="20"/>
              </w:rPr>
              <w:t>Comments:</w:t>
            </w:r>
          </w:p>
          <w:p w14:paraId="2009A232" w14:textId="7869F400" w:rsidR="002D41A4" w:rsidRPr="007D508F" w:rsidRDefault="002D41A4" w:rsidP="00146F49">
            <w:pPr>
              <w:rPr>
                <w:rFonts w:ascii="Verdana" w:hAnsi="Verdana"/>
                <w:sz w:val="20"/>
                <w:szCs w:val="20"/>
              </w:rPr>
            </w:pPr>
            <w:r w:rsidRPr="007D508F">
              <w:rPr>
                <w:rFonts w:ascii="Verdana" w:hAnsi="Verdana"/>
                <w:sz w:val="20"/>
                <w:szCs w:val="20"/>
              </w:rPr>
              <w:t>DCP controls are relevant and applicable to any development in the R3 medium density residential zone. The DCP con</w:t>
            </w:r>
            <w:r w:rsidR="00F35BB4" w:rsidRPr="007D508F">
              <w:rPr>
                <w:rFonts w:ascii="Verdana" w:hAnsi="Verdana"/>
                <w:sz w:val="20"/>
                <w:szCs w:val="20"/>
              </w:rPr>
              <w:t xml:space="preserve">trols translate the LEP objectives and standard </w:t>
            </w:r>
            <w:r w:rsidR="00F5190E" w:rsidRPr="007D508F">
              <w:rPr>
                <w:rFonts w:ascii="Verdana" w:hAnsi="Verdana"/>
                <w:sz w:val="20"/>
                <w:szCs w:val="20"/>
              </w:rPr>
              <w:t xml:space="preserve">into measurable building envelope controls and their compliance determines an acceptable built form. </w:t>
            </w:r>
            <w:r w:rsidR="003B1513" w:rsidRPr="007D508F">
              <w:rPr>
                <w:rFonts w:ascii="Verdana" w:hAnsi="Verdana"/>
                <w:sz w:val="20"/>
                <w:szCs w:val="20"/>
              </w:rPr>
              <w:t xml:space="preserve">The proposal does not comply with several of the DCP controls </w:t>
            </w:r>
            <w:r w:rsidR="00D60550" w:rsidRPr="007D508F">
              <w:rPr>
                <w:rFonts w:ascii="Verdana" w:hAnsi="Verdana"/>
                <w:sz w:val="20"/>
                <w:szCs w:val="20"/>
              </w:rPr>
              <w:t>mainly</w:t>
            </w:r>
            <w:r w:rsidR="003B1513" w:rsidRPr="007D508F">
              <w:rPr>
                <w:rFonts w:ascii="Verdana" w:hAnsi="Verdana"/>
                <w:sz w:val="20"/>
                <w:szCs w:val="20"/>
              </w:rPr>
              <w:t xml:space="preserve"> setbacks, landscaping, external wall height </w:t>
            </w:r>
            <w:r w:rsidR="00D60550" w:rsidRPr="007D508F">
              <w:rPr>
                <w:rFonts w:ascii="Verdana" w:hAnsi="Verdana"/>
                <w:sz w:val="20"/>
                <w:szCs w:val="20"/>
              </w:rPr>
              <w:t xml:space="preserve">and results in an </w:t>
            </w:r>
            <w:r w:rsidR="00AA3408" w:rsidRPr="007D508F">
              <w:rPr>
                <w:rFonts w:ascii="Verdana" w:hAnsi="Verdana"/>
                <w:sz w:val="20"/>
                <w:szCs w:val="20"/>
              </w:rPr>
              <w:t>un</w:t>
            </w:r>
            <w:r w:rsidR="00D60550" w:rsidRPr="007D508F">
              <w:rPr>
                <w:rFonts w:ascii="Verdana" w:hAnsi="Verdana"/>
                <w:sz w:val="20"/>
                <w:szCs w:val="20"/>
              </w:rPr>
              <w:t xml:space="preserve">acceptable built form. </w:t>
            </w:r>
          </w:p>
        </w:tc>
      </w:tr>
      <w:tr w:rsidR="00D60550" w:rsidRPr="007D508F" w14:paraId="049795C0" w14:textId="77777777" w:rsidTr="00B569C5">
        <w:tc>
          <w:tcPr>
            <w:tcW w:w="9016" w:type="dxa"/>
            <w:shd w:val="clear" w:color="auto" w:fill="F2F2F2" w:themeFill="background1" w:themeFillShade="F2"/>
          </w:tcPr>
          <w:p w14:paraId="2FD474F5" w14:textId="4CD4E4B8" w:rsidR="00D60550" w:rsidRPr="007D508F" w:rsidRDefault="00D60550" w:rsidP="00A32963">
            <w:pPr>
              <w:rPr>
                <w:rFonts w:ascii="Verdana" w:hAnsi="Verdana"/>
                <w:sz w:val="20"/>
                <w:szCs w:val="20"/>
              </w:rPr>
            </w:pPr>
            <w:r w:rsidRPr="007D508F">
              <w:rPr>
                <w:rFonts w:ascii="Verdana" w:hAnsi="Verdana"/>
                <w:i/>
                <w:iCs/>
                <w:sz w:val="20"/>
                <w:szCs w:val="20"/>
              </w:rPr>
              <w:t>As such, the Applicant considers there are several Council misinterpretations of the Seniors Housing SEPP which warrant the SECPP intervention.</w:t>
            </w:r>
          </w:p>
        </w:tc>
      </w:tr>
      <w:tr w:rsidR="00D60550" w:rsidRPr="007D508F" w14:paraId="5189A835" w14:textId="77777777" w:rsidTr="00622968">
        <w:tc>
          <w:tcPr>
            <w:tcW w:w="9016" w:type="dxa"/>
          </w:tcPr>
          <w:p w14:paraId="55CDC19E" w14:textId="63575865" w:rsidR="00D60550" w:rsidRPr="007D508F" w:rsidRDefault="003F5033" w:rsidP="00A32963">
            <w:pPr>
              <w:rPr>
                <w:rFonts w:ascii="Verdana" w:hAnsi="Verdana"/>
                <w:sz w:val="20"/>
                <w:szCs w:val="20"/>
              </w:rPr>
            </w:pPr>
            <w:r w:rsidRPr="007D508F">
              <w:rPr>
                <w:rFonts w:ascii="Verdana" w:hAnsi="Verdana"/>
                <w:sz w:val="20"/>
                <w:szCs w:val="20"/>
              </w:rPr>
              <w:t>Council’s assessment report is based on the provisions of Section 4.15 of the Act</w:t>
            </w:r>
            <w:r w:rsidR="005853D2" w:rsidRPr="007D508F">
              <w:rPr>
                <w:rFonts w:ascii="Verdana" w:hAnsi="Verdana"/>
                <w:sz w:val="20"/>
                <w:szCs w:val="20"/>
              </w:rPr>
              <w:t xml:space="preserve"> and this comment is </w:t>
            </w:r>
            <w:r w:rsidR="005957FD" w:rsidRPr="007D508F">
              <w:rPr>
                <w:rFonts w:ascii="Verdana" w:hAnsi="Verdana"/>
                <w:sz w:val="20"/>
                <w:szCs w:val="20"/>
              </w:rPr>
              <w:t xml:space="preserve">not considered well founded. </w:t>
            </w:r>
            <w:r w:rsidR="00A773AF" w:rsidRPr="007D508F">
              <w:rPr>
                <w:rFonts w:ascii="Verdana" w:hAnsi="Verdana"/>
                <w:sz w:val="20"/>
                <w:szCs w:val="20"/>
              </w:rPr>
              <w:t xml:space="preserve"> </w:t>
            </w:r>
            <w:r w:rsidR="005853D2" w:rsidRPr="007D508F">
              <w:rPr>
                <w:rFonts w:ascii="Verdana" w:hAnsi="Verdana"/>
                <w:sz w:val="20"/>
                <w:szCs w:val="20"/>
              </w:rPr>
              <w:t xml:space="preserve"> </w:t>
            </w:r>
          </w:p>
        </w:tc>
      </w:tr>
    </w:tbl>
    <w:p w14:paraId="48433D7A" w14:textId="77777777" w:rsidR="00FB0755" w:rsidRPr="007D508F" w:rsidRDefault="00FB0755" w:rsidP="00C706BC">
      <w:pPr>
        <w:rPr>
          <w:rFonts w:ascii="Verdana" w:hAnsi="Verdana"/>
          <w:b/>
          <w:bCs/>
          <w:sz w:val="20"/>
          <w:szCs w:val="20"/>
          <w:u w:val="single"/>
        </w:rPr>
      </w:pPr>
    </w:p>
    <w:sectPr w:rsidR="00FB0755" w:rsidRPr="007D5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55 Roman">
    <w:panose1 w:val="020B0604020202020204"/>
    <w:charset w:val="00"/>
    <w:family w:val="swiss"/>
    <w:notTrueType/>
    <w:pitch w:val="variable"/>
    <w:sig w:usb0="800000AF" w:usb1="5000204A" w:usb2="00000000" w:usb3="00000000" w:csb0="0000009B"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70867"/>
    <w:multiLevelType w:val="hybridMultilevel"/>
    <w:tmpl w:val="EF567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764A5B"/>
    <w:multiLevelType w:val="multilevel"/>
    <w:tmpl w:val="05F86D62"/>
    <w:numStyleLink w:val="AppListStyle"/>
  </w:abstractNum>
  <w:abstractNum w:abstractNumId="2" w15:restartNumberingAfterBreak="0">
    <w:nsid w:val="2DAA1077"/>
    <w:multiLevelType w:val="multilevel"/>
    <w:tmpl w:val="B128FF14"/>
    <w:numStyleLink w:val="SecListStyle"/>
  </w:abstractNum>
  <w:abstractNum w:abstractNumId="3" w15:restartNumberingAfterBreak="0">
    <w:nsid w:val="383B7E6D"/>
    <w:multiLevelType w:val="multilevel"/>
    <w:tmpl w:val="05F86D62"/>
    <w:styleLink w:val="AppListStyle"/>
    <w:lvl w:ilvl="0">
      <w:start w:val="1"/>
      <w:numFmt w:val="upperLetter"/>
      <w:pStyle w:val="AppHead1"/>
      <w:suff w:val="space"/>
      <w:lvlText w:val="%1."/>
      <w:lvlJc w:val="left"/>
      <w:pPr>
        <w:ind w:left="0" w:firstLine="0"/>
      </w:pPr>
      <w:rPr>
        <w:rFonts w:hint="default"/>
      </w:rPr>
    </w:lvl>
    <w:lvl w:ilvl="1">
      <w:start w:val="1"/>
      <w:numFmt w:val="decimal"/>
      <w:pStyle w:val="AppHead2"/>
      <w:suff w:val="space"/>
      <w:lvlText w:val="%1.%2."/>
      <w:lvlJc w:val="left"/>
      <w:pPr>
        <w:ind w:left="0" w:firstLine="0"/>
      </w:pPr>
      <w:rPr>
        <w:rFonts w:hint="default"/>
      </w:rPr>
    </w:lvl>
    <w:lvl w:ilvl="2">
      <w:start w:val="1"/>
      <w:numFmt w:val="decimal"/>
      <w:pStyle w:val="AppHead3"/>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7FB34D5"/>
    <w:multiLevelType w:val="multilevel"/>
    <w:tmpl w:val="B128FF14"/>
    <w:styleLink w:val="SecListStyle"/>
    <w:lvl w:ilvl="0">
      <w:start w:val="1"/>
      <w:numFmt w:val="decimal"/>
      <w:lvlRestart w:val="0"/>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4A0744BE"/>
    <w:multiLevelType w:val="multilevel"/>
    <w:tmpl w:val="3FE6DE62"/>
    <w:lvl w:ilvl="0">
      <w:start w:val="1"/>
      <w:numFmt w:val="bullet"/>
      <w:pStyle w:val="SymbolBullet1"/>
      <w:lvlText w:val=""/>
      <w:lvlJc w:val="left"/>
      <w:pPr>
        <w:tabs>
          <w:tab w:val="num" w:pos="567"/>
        </w:tabs>
        <w:ind w:left="567" w:hanging="283"/>
      </w:pPr>
      <w:rPr>
        <w:rFonts w:ascii="Symbol" w:hAnsi="Symbol" w:hint="default"/>
      </w:rPr>
    </w:lvl>
    <w:lvl w:ilvl="1">
      <w:start w:val="1"/>
      <w:numFmt w:val="bullet"/>
      <w:pStyle w:val="SymbolBullet2"/>
      <w:lvlText w:val="–"/>
      <w:lvlJc w:val="left"/>
      <w:pPr>
        <w:tabs>
          <w:tab w:val="num" w:pos="851"/>
        </w:tabs>
        <w:ind w:left="851" w:hanging="284"/>
      </w:pPr>
      <w:rPr>
        <w:rFonts w:ascii="(none)" w:hAnsi="(none)" w:hint="default"/>
      </w:rPr>
    </w:lvl>
    <w:lvl w:ilvl="2">
      <w:start w:val="1"/>
      <w:numFmt w:val="bullet"/>
      <w:pStyle w:val="SymbolBullet3"/>
      <w:lvlText w:val="–"/>
      <w:lvlJc w:val="left"/>
      <w:pPr>
        <w:tabs>
          <w:tab w:val="num" w:pos="851"/>
        </w:tabs>
        <w:ind w:left="1134" w:hanging="283"/>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6EE3444F"/>
    <w:multiLevelType w:val="multilevel"/>
    <w:tmpl w:val="73BC4D6C"/>
    <w:lvl w:ilvl="0">
      <w:start w:val="1"/>
      <w:numFmt w:val="bullet"/>
      <w:pStyle w:val="TableBullet1"/>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hint="default"/>
        <w:color w:val="231F20" w:themeColor="text1"/>
      </w:rPr>
    </w:lvl>
    <w:lvl w:ilvl="2">
      <w:start w:val="1"/>
      <w:numFmt w:val="bullet"/>
      <w:pStyle w:val="TableBullet3"/>
      <w:lvlText w:val="–"/>
      <w:lvlJc w:val="left"/>
      <w:pPr>
        <w:tabs>
          <w:tab w:val="num" w:pos="510"/>
        </w:tabs>
        <w:ind w:left="510" w:hanging="170"/>
      </w:pPr>
      <w:rPr>
        <w:rFonts w:hint="default"/>
        <w:color w:val="231F2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7" w15:restartNumberingAfterBreak="0">
    <w:nsid w:val="796A3518"/>
    <w:multiLevelType w:val="multilevel"/>
    <w:tmpl w:val="46B8961C"/>
    <w:lvl w:ilvl="0">
      <w:start w:val="1"/>
      <w:numFmt w:val="decimal"/>
      <w:pStyle w:val="AlphaNumBullet1"/>
      <w:lvlText w:val="%1."/>
      <w:lvlJc w:val="left"/>
      <w:pPr>
        <w:tabs>
          <w:tab w:val="num" w:pos="340"/>
        </w:tabs>
        <w:ind w:left="340" w:hanging="340"/>
      </w:pPr>
      <w:rPr>
        <w:rFonts w:hint="default"/>
      </w:rPr>
    </w:lvl>
    <w:lvl w:ilvl="1">
      <w:start w:val="1"/>
      <w:numFmt w:val="lowerLetter"/>
      <w:pStyle w:val="AlphaNumBullet2"/>
      <w:lvlText w:val="%2."/>
      <w:lvlJc w:val="left"/>
      <w:pPr>
        <w:tabs>
          <w:tab w:val="num" w:pos="680"/>
        </w:tabs>
        <w:ind w:left="680" w:hanging="340"/>
      </w:pPr>
      <w:rPr>
        <w:rFonts w:hint="default"/>
      </w:rPr>
    </w:lvl>
    <w:lvl w:ilvl="2">
      <w:start w:val="1"/>
      <w:numFmt w:val="lowerRoman"/>
      <w:pStyle w:val="AlphaNumBullet3"/>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3"/>
  </w:num>
  <w:num w:numId="2">
    <w:abstractNumId w:val="4"/>
  </w:num>
  <w:num w:numId="3">
    <w:abstractNumId w:val="7"/>
  </w:num>
  <w:num w:numId="4">
    <w:abstractNumId w:val="1"/>
  </w:num>
  <w:num w:numId="5">
    <w:abstractNumId w:val="5"/>
  </w:num>
  <w:num w:numId="6">
    <w:abstractNumId w:val="6"/>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55"/>
    <w:rsid w:val="0001664B"/>
    <w:rsid w:val="00025F38"/>
    <w:rsid w:val="00033FB6"/>
    <w:rsid w:val="000545F3"/>
    <w:rsid w:val="0008418F"/>
    <w:rsid w:val="000A0305"/>
    <w:rsid w:val="000B4B0C"/>
    <w:rsid w:val="000C5292"/>
    <w:rsid w:val="000C5AD7"/>
    <w:rsid w:val="000D6FB5"/>
    <w:rsid w:val="000F307B"/>
    <w:rsid w:val="00107322"/>
    <w:rsid w:val="0011312F"/>
    <w:rsid w:val="001138BF"/>
    <w:rsid w:val="001150B3"/>
    <w:rsid w:val="00115791"/>
    <w:rsid w:val="001344F7"/>
    <w:rsid w:val="001440F0"/>
    <w:rsid w:val="00146F09"/>
    <w:rsid w:val="00146F49"/>
    <w:rsid w:val="001642E2"/>
    <w:rsid w:val="00184655"/>
    <w:rsid w:val="00192D56"/>
    <w:rsid w:val="001B31AE"/>
    <w:rsid w:val="001B6DAA"/>
    <w:rsid w:val="001C5129"/>
    <w:rsid w:val="001D41BF"/>
    <w:rsid w:val="001D7596"/>
    <w:rsid w:val="001F263C"/>
    <w:rsid w:val="002004D8"/>
    <w:rsid w:val="00201C86"/>
    <w:rsid w:val="00203584"/>
    <w:rsid w:val="00215E04"/>
    <w:rsid w:val="002342B7"/>
    <w:rsid w:val="00237179"/>
    <w:rsid w:val="00241E02"/>
    <w:rsid w:val="00242F9B"/>
    <w:rsid w:val="0024507A"/>
    <w:rsid w:val="0024694A"/>
    <w:rsid w:val="00252696"/>
    <w:rsid w:val="00281711"/>
    <w:rsid w:val="0028320B"/>
    <w:rsid w:val="002832BF"/>
    <w:rsid w:val="0029066C"/>
    <w:rsid w:val="002C6CBD"/>
    <w:rsid w:val="002D2D7C"/>
    <w:rsid w:val="002D41A4"/>
    <w:rsid w:val="002E3EE5"/>
    <w:rsid w:val="002E446B"/>
    <w:rsid w:val="002F0A7B"/>
    <w:rsid w:val="002F24AD"/>
    <w:rsid w:val="00306143"/>
    <w:rsid w:val="0031334D"/>
    <w:rsid w:val="00330F7A"/>
    <w:rsid w:val="003339F0"/>
    <w:rsid w:val="00335FB7"/>
    <w:rsid w:val="0033713A"/>
    <w:rsid w:val="003456ED"/>
    <w:rsid w:val="00357F7F"/>
    <w:rsid w:val="0036208B"/>
    <w:rsid w:val="00362FFD"/>
    <w:rsid w:val="003648C7"/>
    <w:rsid w:val="00365472"/>
    <w:rsid w:val="00375972"/>
    <w:rsid w:val="0039721E"/>
    <w:rsid w:val="003B1513"/>
    <w:rsid w:val="003B2E55"/>
    <w:rsid w:val="003B5F5B"/>
    <w:rsid w:val="003D2F89"/>
    <w:rsid w:val="003D60C6"/>
    <w:rsid w:val="003F5033"/>
    <w:rsid w:val="00416546"/>
    <w:rsid w:val="004204E3"/>
    <w:rsid w:val="00423C21"/>
    <w:rsid w:val="00434448"/>
    <w:rsid w:val="00445869"/>
    <w:rsid w:val="0046008B"/>
    <w:rsid w:val="00465F17"/>
    <w:rsid w:val="00470B27"/>
    <w:rsid w:val="00473D6F"/>
    <w:rsid w:val="00474D65"/>
    <w:rsid w:val="0047768C"/>
    <w:rsid w:val="00482FA7"/>
    <w:rsid w:val="004833D9"/>
    <w:rsid w:val="00485132"/>
    <w:rsid w:val="00491060"/>
    <w:rsid w:val="004B6435"/>
    <w:rsid w:val="004B748F"/>
    <w:rsid w:val="004D4373"/>
    <w:rsid w:val="004E051D"/>
    <w:rsid w:val="005315A9"/>
    <w:rsid w:val="00531E9D"/>
    <w:rsid w:val="005329A9"/>
    <w:rsid w:val="00540AD1"/>
    <w:rsid w:val="00543CBB"/>
    <w:rsid w:val="00546B21"/>
    <w:rsid w:val="00566FFA"/>
    <w:rsid w:val="00577156"/>
    <w:rsid w:val="005853D2"/>
    <w:rsid w:val="0058690D"/>
    <w:rsid w:val="005957FD"/>
    <w:rsid w:val="005B3DBF"/>
    <w:rsid w:val="005E1520"/>
    <w:rsid w:val="005E3827"/>
    <w:rsid w:val="005E5FC3"/>
    <w:rsid w:val="005F5F80"/>
    <w:rsid w:val="006121B2"/>
    <w:rsid w:val="00617399"/>
    <w:rsid w:val="00617CF5"/>
    <w:rsid w:val="006353EC"/>
    <w:rsid w:val="006376FE"/>
    <w:rsid w:val="00647E23"/>
    <w:rsid w:val="00661A5C"/>
    <w:rsid w:val="00662110"/>
    <w:rsid w:val="00692D82"/>
    <w:rsid w:val="00694AA5"/>
    <w:rsid w:val="006A1FAB"/>
    <w:rsid w:val="006A46D5"/>
    <w:rsid w:val="006B61BB"/>
    <w:rsid w:val="006C3B19"/>
    <w:rsid w:val="006D6DEE"/>
    <w:rsid w:val="006D76E3"/>
    <w:rsid w:val="006F3347"/>
    <w:rsid w:val="006F3FDF"/>
    <w:rsid w:val="00720008"/>
    <w:rsid w:val="0072495B"/>
    <w:rsid w:val="00773E81"/>
    <w:rsid w:val="00794D1E"/>
    <w:rsid w:val="00796DF4"/>
    <w:rsid w:val="007A1928"/>
    <w:rsid w:val="007A536D"/>
    <w:rsid w:val="007A566B"/>
    <w:rsid w:val="007B2231"/>
    <w:rsid w:val="007C3678"/>
    <w:rsid w:val="007D508F"/>
    <w:rsid w:val="008155CA"/>
    <w:rsid w:val="00851628"/>
    <w:rsid w:val="00870E27"/>
    <w:rsid w:val="00896832"/>
    <w:rsid w:val="00896B8F"/>
    <w:rsid w:val="008B34F1"/>
    <w:rsid w:val="008C2055"/>
    <w:rsid w:val="008D0DA2"/>
    <w:rsid w:val="008D4DD9"/>
    <w:rsid w:val="008E24C5"/>
    <w:rsid w:val="008F2B1B"/>
    <w:rsid w:val="00902566"/>
    <w:rsid w:val="00904F20"/>
    <w:rsid w:val="009242E4"/>
    <w:rsid w:val="00934370"/>
    <w:rsid w:val="00964569"/>
    <w:rsid w:val="009840AD"/>
    <w:rsid w:val="0099484A"/>
    <w:rsid w:val="00995DDD"/>
    <w:rsid w:val="00997606"/>
    <w:rsid w:val="009B0A8F"/>
    <w:rsid w:val="009C5B6D"/>
    <w:rsid w:val="00A00B63"/>
    <w:rsid w:val="00A07453"/>
    <w:rsid w:val="00A10F71"/>
    <w:rsid w:val="00A20DDC"/>
    <w:rsid w:val="00A22FB3"/>
    <w:rsid w:val="00A33F9F"/>
    <w:rsid w:val="00A34FFF"/>
    <w:rsid w:val="00A41A19"/>
    <w:rsid w:val="00A452C2"/>
    <w:rsid w:val="00A5568F"/>
    <w:rsid w:val="00A62FAF"/>
    <w:rsid w:val="00A64BFB"/>
    <w:rsid w:val="00A71481"/>
    <w:rsid w:val="00A773AF"/>
    <w:rsid w:val="00A81F40"/>
    <w:rsid w:val="00A96B11"/>
    <w:rsid w:val="00AA3408"/>
    <w:rsid w:val="00AB5CAC"/>
    <w:rsid w:val="00AB7FDC"/>
    <w:rsid w:val="00AD510E"/>
    <w:rsid w:val="00AD7387"/>
    <w:rsid w:val="00AE433F"/>
    <w:rsid w:val="00B036D1"/>
    <w:rsid w:val="00B13F4A"/>
    <w:rsid w:val="00B24F1E"/>
    <w:rsid w:val="00B41AFE"/>
    <w:rsid w:val="00B43C55"/>
    <w:rsid w:val="00B509BA"/>
    <w:rsid w:val="00B569C5"/>
    <w:rsid w:val="00B62181"/>
    <w:rsid w:val="00B6454D"/>
    <w:rsid w:val="00B71F21"/>
    <w:rsid w:val="00B84186"/>
    <w:rsid w:val="00B90EF2"/>
    <w:rsid w:val="00BA2531"/>
    <w:rsid w:val="00BB2B0F"/>
    <w:rsid w:val="00BB304A"/>
    <w:rsid w:val="00BB6FD8"/>
    <w:rsid w:val="00BC0FED"/>
    <w:rsid w:val="00BF34D6"/>
    <w:rsid w:val="00BF3EDB"/>
    <w:rsid w:val="00BF5F02"/>
    <w:rsid w:val="00C033F7"/>
    <w:rsid w:val="00C20CEF"/>
    <w:rsid w:val="00C20EDA"/>
    <w:rsid w:val="00C706BC"/>
    <w:rsid w:val="00C74862"/>
    <w:rsid w:val="00C8708A"/>
    <w:rsid w:val="00C93C73"/>
    <w:rsid w:val="00C95659"/>
    <w:rsid w:val="00C96B9D"/>
    <w:rsid w:val="00CA04C9"/>
    <w:rsid w:val="00CA55A9"/>
    <w:rsid w:val="00CB229E"/>
    <w:rsid w:val="00CB5C01"/>
    <w:rsid w:val="00CC3A39"/>
    <w:rsid w:val="00CC6913"/>
    <w:rsid w:val="00CD5AF3"/>
    <w:rsid w:val="00CE2BD7"/>
    <w:rsid w:val="00CF6F2D"/>
    <w:rsid w:val="00D019E4"/>
    <w:rsid w:val="00D03BD5"/>
    <w:rsid w:val="00D20D72"/>
    <w:rsid w:val="00D227A8"/>
    <w:rsid w:val="00D253F8"/>
    <w:rsid w:val="00D27EEF"/>
    <w:rsid w:val="00D5418E"/>
    <w:rsid w:val="00D55AAC"/>
    <w:rsid w:val="00D60550"/>
    <w:rsid w:val="00D63D91"/>
    <w:rsid w:val="00D63E25"/>
    <w:rsid w:val="00D6505B"/>
    <w:rsid w:val="00D73648"/>
    <w:rsid w:val="00D8593C"/>
    <w:rsid w:val="00D93CD8"/>
    <w:rsid w:val="00DB0095"/>
    <w:rsid w:val="00DB2F58"/>
    <w:rsid w:val="00DC4B20"/>
    <w:rsid w:val="00DF7260"/>
    <w:rsid w:val="00E01B2B"/>
    <w:rsid w:val="00E02F82"/>
    <w:rsid w:val="00E308C3"/>
    <w:rsid w:val="00E30C83"/>
    <w:rsid w:val="00E3388F"/>
    <w:rsid w:val="00E52F5E"/>
    <w:rsid w:val="00E62FD5"/>
    <w:rsid w:val="00E739CE"/>
    <w:rsid w:val="00E7473E"/>
    <w:rsid w:val="00E91AB9"/>
    <w:rsid w:val="00EC5EC7"/>
    <w:rsid w:val="00EC687E"/>
    <w:rsid w:val="00F03A06"/>
    <w:rsid w:val="00F21A83"/>
    <w:rsid w:val="00F35BB4"/>
    <w:rsid w:val="00F417A0"/>
    <w:rsid w:val="00F5190E"/>
    <w:rsid w:val="00F93473"/>
    <w:rsid w:val="00F97EE2"/>
    <w:rsid w:val="00FA6790"/>
    <w:rsid w:val="00FB0755"/>
    <w:rsid w:val="00FB7B90"/>
    <w:rsid w:val="00FB7BA2"/>
    <w:rsid w:val="00FD4C45"/>
    <w:rsid w:val="00FD7CC7"/>
    <w:rsid w:val="00FF0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A730"/>
  <w15:chartTrackingRefBased/>
  <w15:docId w15:val="{2C3EDCE7-D766-4E9C-B5DB-1FAA169E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C706BC"/>
    <w:pPr>
      <w:spacing w:before="120" w:after="0" w:line="264" w:lineRule="auto"/>
    </w:pPr>
    <w:rPr>
      <w:color w:val="231F20" w:themeColor="text1"/>
      <w:sz w:val="19"/>
      <w:szCs w:val="19"/>
      <w:lang w:val="en-AU"/>
    </w:rPr>
  </w:style>
  <w:style w:type="paragraph" w:styleId="Heading1">
    <w:name w:val="heading 1"/>
    <w:aliases w:val="±Head1"/>
    <w:basedOn w:val="HeadNonToc"/>
    <w:next w:val="Normal"/>
    <w:link w:val="Heading1Char"/>
    <w:uiPriority w:val="4"/>
    <w:qFormat/>
    <w:rsid w:val="00C706BC"/>
    <w:pPr>
      <w:numPr>
        <w:numId w:val="7"/>
      </w:numPr>
      <w:outlineLvl w:val="0"/>
    </w:pPr>
  </w:style>
  <w:style w:type="paragraph" w:styleId="Heading2">
    <w:name w:val="heading 2"/>
    <w:aliases w:val="±Head2"/>
    <w:basedOn w:val="NoNumSubHead"/>
    <w:next w:val="Normal"/>
    <w:link w:val="Heading2Char"/>
    <w:uiPriority w:val="4"/>
    <w:qFormat/>
    <w:rsid w:val="00C706BC"/>
    <w:pPr>
      <w:numPr>
        <w:ilvl w:val="1"/>
        <w:numId w:val="7"/>
      </w:numPr>
      <w:outlineLvl w:val="1"/>
    </w:pPr>
  </w:style>
  <w:style w:type="paragraph" w:styleId="Heading3">
    <w:name w:val="heading 3"/>
    <w:aliases w:val="±Head3"/>
    <w:basedOn w:val="NoNumSubHead"/>
    <w:next w:val="Normal"/>
    <w:link w:val="Heading3Char"/>
    <w:uiPriority w:val="4"/>
    <w:qFormat/>
    <w:rsid w:val="00C706BC"/>
    <w:pPr>
      <w:numPr>
        <w:ilvl w:val="2"/>
        <w:numId w:val="7"/>
      </w:numPr>
      <w:outlineLvl w:val="2"/>
    </w:pPr>
    <w:rPr>
      <w:sz w:val="20"/>
    </w:rPr>
  </w:style>
  <w:style w:type="paragraph" w:styleId="Heading4">
    <w:name w:val="heading 4"/>
    <w:aliases w:val="±Head4"/>
    <w:basedOn w:val="NoNumSubHead"/>
    <w:next w:val="Normal"/>
    <w:link w:val="Heading4Char"/>
    <w:uiPriority w:val="4"/>
    <w:semiHidden/>
    <w:qFormat/>
    <w:rsid w:val="00C706BC"/>
    <w:pPr>
      <w:outlineLvl w:val="3"/>
    </w:pPr>
    <w:rPr>
      <w:b w:val="0"/>
    </w:rPr>
  </w:style>
  <w:style w:type="paragraph" w:styleId="Heading5">
    <w:name w:val="heading 5"/>
    <w:aliases w:val="±Head5"/>
    <w:basedOn w:val="NoNumSubHead"/>
    <w:next w:val="Normal"/>
    <w:link w:val="Heading5Char"/>
    <w:uiPriority w:val="4"/>
    <w:semiHidden/>
    <w:rsid w:val="00C706BC"/>
    <w:pPr>
      <w:keepLines/>
      <w:outlineLvl w:val="4"/>
    </w:pPr>
    <w:rPr>
      <w:rFonts w:eastAsiaTheme="majorEastAsia" w:cstheme="majorBidi"/>
      <w:b w:val="0"/>
    </w:rPr>
  </w:style>
  <w:style w:type="paragraph" w:styleId="Heading6">
    <w:name w:val="heading 6"/>
    <w:aliases w:val="±Head6"/>
    <w:basedOn w:val="NoNumSubHead"/>
    <w:next w:val="Normal"/>
    <w:link w:val="Heading6Char"/>
    <w:uiPriority w:val="4"/>
    <w:semiHidden/>
    <w:rsid w:val="00C706BC"/>
    <w:pPr>
      <w:keepLines/>
      <w:outlineLvl w:val="5"/>
    </w:pPr>
    <w:rPr>
      <w:rFonts w:eastAsiaTheme="majorEastAsia" w:cstheme="majorBidi"/>
      <w:b w:val="0"/>
      <w:i/>
      <w:iCs/>
    </w:rPr>
  </w:style>
  <w:style w:type="paragraph" w:styleId="Heading7">
    <w:name w:val="heading 7"/>
    <w:aliases w:val="±Head7"/>
    <w:basedOn w:val="NoNumSubHead"/>
    <w:next w:val="Normal"/>
    <w:link w:val="Heading7Char"/>
    <w:uiPriority w:val="4"/>
    <w:semiHidden/>
    <w:rsid w:val="00C706BC"/>
    <w:pPr>
      <w:keepLines/>
      <w:outlineLvl w:val="6"/>
    </w:pPr>
    <w:rPr>
      <w:rFonts w:eastAsiaTheme="majorEastAsia" w:cstheme="majorBidi"/>
      <w:b w:val="0"/>
      <w:iCs/>
    </w:rPr>
  </w:style>
  <w:style w:type="paragraph" w:styleId="Heading8">
    <w:name w:val="heading 8"/>
    <w:aliases w:val="±Head8"/>
    <w:basedOn w:val="NoNumSubHead"/>
    <w:next w:val="Normal"/>
    <w:link w:val="Heading8Char"/>
    <w:uiPriority w:val="4"/>
    <w:semiHidden/>
    <w:rsid w:val="00C706BC"/>
    <w:pPr>
      <w:keepLines/>
      <w:outlineLvl w:val="7"/>
    </w:pPr>
    <w:rPr>
      <w:rFonts w:eastAsiaTheme="majorEastAsia" w:cstheme="majorBidi"/>
    </w:rPr>
  </w:style>
  <w:style w:type="paragraph" w:styleId="Heading9">
    <w:name w:val="heading 9"/>
    <w:aliases w:val="±Head9"/>
    <w:basedOn w:val="NoNumSubHead"/>
    <w:next w:val="Normal"/>
    <w:link w:val="Heading9Char"/>
    <w:uiPriority w:val="4"/>
    <w:semiHidden/>
    <w:rsid w:val="00C706BC"/>
    <w:pPr>
      <w:keepLines/>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ListStyle">
    <w:name w:val="~AppListStyle"/>
    <w:uiPriority w:val="99"/>
    <w:rsid w:val="00C706BC"/>
    <w:pPr>
      <w:numPr>
        <w:numId w:val="1"/>
      </w:numPr>
    </w:pPr>
  </w:style>
  <w:style w:type="numbering" w:customStyle="1" w:styleId="SecListStyle">
    <w:name w:val="~SecListStyle"/>
    <w:uiPriority w:val="99"/>
    <w:rsid w:val="00C706BC"/>
    <w:pPr>
      <w:numPr>
        <w:numId w:val="2"/>
      </w:numPr>
    </w:pPr>
  </w:style>
  <w:style w:type="table" w:customStyle="1" w:styleId="TableNormal0">
    <w:name w:val="~TableNormal"/>
    <w:basedOn w:val="TableNormal"/>
    <w:semiHidden/>
    <w:rsid w:val="00C706BC"/>
    <w:pPr>
      <w:spacing w:before="120" w:after="0" w:line="264" w:lineRule="auto"/>
    </w:pPr>
    <w:rPr>
      <w:rFonts w:cs="Arial"/>
      <w:color w:val="3572BB"/>
      <w:sz w:val="20"/>
      <w:szCs w:val="20"/>
    </w:rPr>
    <w:tblPr/>
  </w:style>
  <w:style w:type="paragraph" w:customStyle="1" w:styleId="AlphaNumBullet1">
    <w:name w:val="±AlphaNumBullet1"/>
    <w:basedOn w:val="Normal"/>
    <w:uiPriority w:val="1"/>
    <w:qFormat/>
    <w:rsid w:val="00C706BC"/>
    <w:pPr>
      <w:numPr>
        <w:numId w:val="3"/>
      </w:numPr>
      <w:spacing w:before="60" w:after="60"/>
    </w:pPr>
  </w:style>
  <w:style w:type="paragraph" w:customStyle="1" w:styleId="AlphaNumBullet2">
    <w:name w:val="±AlphaNumBullet2"/>
    <w:basedOn w:val="Normal"/>
    <w:uiPriority w:val="1"/>
    <w:rsid w:val="00C706BC"/>
    <w:pPr>
      <w:numPr>
        <w:ilvl w:val="1"/>
        <w:numId w:val="3"/>
      </w:numPr>
      <w:spacing w:before="60" w:after="60"/>
    </w:pPr>
  </w:style>
  <w:style w:type="paragraph" w:customStyle="1" w:styleId="AlphaNumBullet3">
    <w:name w:val="±AlphaNumBullet3"/>
    <w:basedOn w:val="Normal"/>
    <w:uiPriority w:val="1"/>
    <w:rsid w:val="00C706BC"/>
    <w:pPr>
      <w:numPr>
        <w:ilvl w:val="2"/>
        <w:numId w:val="3"/>
      </w:numPr>
      <w:spacing w:before="60" w:after="60"/>
    </w:pPr>
  </w:style>
  <w:style w:type="paragraph" w:styleId="NoSpacing">
    <w:name w:val="No Spacing"/>
    <w:aliases w:val="±BaseStyle"/>
    <w:rsid w:val="00C706BC"/>
    <w:pPr>
      <w:spacing w:after="0" w:line="240" w:lineRule="auto"/>
    </w:pPr>
    <w:rPr>
      <w:rFonts w:cs="Arial"/>
      <w:color w:val="231F20" w:themeColor="text1"/>
      <w:sz w:val="20"/>
      <w:szCs w:val="20"/>
      <w:lang w:val="en-AU"/>
    </w:rPr>
  </w:style>
  <w:style w:type="paragraph" w:customStyle="1" w:styleId="HeadNonToc">
    <w:name w:val="±HeadNonToc"/>
    <w:basedOn w:val="NoSpacing"/>
    <w:next w:val="Normal"/>
    <w:uiPriority w:val="3"/>
    <w:rsid w:val="00C706BC"/>
    <w:pPr>
      <w:keepNext/>
      <w:pBdr>
        <w:top w:val="single" w:sz="24" w:space="4" w:color="0080C8" w:themeColor="text2"/>
      </w:pBdr>
      <w:spacing w:before="600" w:after="300"/>
    </w:pPr>
    <w:rPr>
      <w:rFonts w:asciiTheme="majorHAnsi" w:hAnsiTheme="majorHAnsi"/>
      <w:b/>
      <w:color w:val="0080C8" w:themeColor="text2"/>
      <w:sz w:val="36"/>
    </w:rPr>
  </w:style>
  <w:style w:type="paragraph" w:customStyle="1" w:styleId="AppDivider">
    <w:name w:val="±AppDivider"/>
    <w:basedOn w:val="HeadNonToc"/>
    <w:next w:val="Normal"/>
    <w:uiPriority w:val="6"/>
    <w:semiHidden/>
    <w:rsid w:val="00C706BC"/>
    <w:pPr>
      <w:outlineLvl w:val="0"/>
    </w:pPr>
  </w:style>
  <w:style w:type="paragraph" w:customStyle="1" w:styleId="AppHead1">
    <w:name w:val="±AppHead1"/>
    <w:basedOn w:val="HeadNonToc"/>
    <w:next w:val="Normal"/>
    <w:uiPriority w:val="7"/>
    <w:rsid w:val="00C706BC"/>
    <w:pPr>
      <w:numPr>
        <w:numId w:val="4"/>
      </w:numPr>
      <w:outlineLvl w:val="0"/>
    </w:pPr>
  </w:style>
  <w:style w:type="paragraph" w:customStyle="1" w:styleId="AppHead2">
    <w:name w:val="±AppHead2"/>
    <w:basedOn w:val="HeadNonToc"/>
    <w:next w:val="Normal"/>
    <w:uiPriority w:val="8"/>
    <w:rsid w:val="00C706BC"/>
    <w:pPr>
      <w:numPr>
        <w:ilvl w:val="1"/>
        <w:numId w:val="4"/>
      </w:numPr>
      <w:pBdr>
        <w:top w:val="none" w:sz="0" w:space="0" w:color="auto"/>
      </w:pBdr>
      <w:spacing w:before="300" w:after="0"/>
      <w:outlineLvl w:val="1"/>
    </w:pPr>
    <w:rPr>
      <w:sz w:val="24"/>
    </w:rPr>
  </w:style>
  <w:style w:type="paragraph" w:customStyle="1" w:styleId="AppHead3">
    <w:name w:val="±AppHead3"/>
    <w:basedOn w:val="HeadNonToc"/>
    <w:next w:val="Normal"/>
    <w:uiPriority w:val="9"/>
    <w:rsid w:val="00C706BC"/>
    <w:pPr>
      <w:numPr>
        <w:ilvl w:val="2"/>
        <w:numId w:val="4"/>
      </w:numPr>
      <w:pBdr>
        <w:top w:val="none" w:sz="0" w:space="0" w:color="auto"/>
      </w:pBdr>
      <w:spacing w:before="300" w:after="0"/>
      <w:outlineLvl w:val="2"/>
    </w:pPr>
    <w:rPr>
      <w:sz w:val="20"/>
    </w:rPr>
  </w:style>
  <w:style w:type="paragraph" w:customStyle="1" w:styleId="BackPageText">
    <w:name w:val="±BackPage_Text"/>
    <w:basedOn w:val="NoSpacing"/>
    <w:uiPriority w:val="12"/>
    <w:qFormat/>
    <w:rsid w:val="00C706BC"/>
    <w:rPr>
      <w:color w:val="57728B"/>
      <w:sz w:val="14"/>
    </w:rPr>
  </w:style>
  <w:style w:type="paragraph" w:customStyle="1" w:styleId="BackPageHead">
    <w:name w:val="±BackPage_Head"/>
    <w:basedOn w:val="BackPageText"/>
    <w:next w:val="BackPageText"/>
    <w:uiPriority w:val="12"/>
    <w:qFormat/>
    <w:rsid w:val="00C706BC"/>
    <w:pPr>
      <w:spacing w:before="240"/>
    </w:pPr>
    <w:rPr>
      <w:b/>
    </w:rPr>
  </w:style>
  <w:style w:type="paragraph" w:customStyle="1" w:styleId="BodyHeading">
    <w:name w:val="±BodyHeading"/>
    <w:basedOn w:val="Normal"/>
    <w:next w:val="Normal"/>
    <w:uiPriority w:val="2"/>
    <w:qFormat/>
    <w:rsid w:val="00C706BC"/>
    <w:pPr>
      <w:keepNext/>
    </w:pPr>
    <w:rPr>
      <w:b/>
    </w:rPr>
  </w:style>
  <w:style w:type="paragraph" w:customStyle="1" w:styleId="CoverClient">
    <w:name w:val="±CoverClient"/>
    <w:basedOn w:val="NoSpacing"/>
    <w:uiPriority w:val="34"/>
    <w:semiHidden/>
    <w:rsid w:val="00C706BC"/>
  </w:style>
  <w:style w:type="paragraph" w:customStyle="1" w:styleId="CoverDate">
    <w:name w:val="±CoverDate"/>
    <w:basedOn w:val="NoSpacing"/>
    <w:uiPriority w:val="34"/>
    <w:semiHidden/>
    <w:rsid w:val="00C706BC"/>
    <w:pPr>
      <w:spacing w:before="480"/>
    </w:pPr>
    <w:rPr>
      <w:b/>
      <w:color w:val="FFFFFF" w:themeColor="background1"/>
      <w:sz w:val="24"/>
    </w:rPr>
  </w:style>
  <w:style w:type="paragraph" w:customStyle="1" w:styleId="CoverLabel">
    <w:name w:val="±CoverLabel"/>
    <w:basedOn w:val="NoSpacing"/>
    <w:next w:val="Normal"/>
    <w:uiPriority w:val="34"/>
    <w:semiHidden/>
    <w:rsid w:val="00C706BC"/>
    <w:rPr>
      <w:color w:val="466E84"/>
    </w:rPr>
  </w:style>
  <w:style w:type="paragraph" w:customStyle="1" w:styleId="CoverSubTitle">
    <w:name w:val="±CoverSubTitle"/>
    <w:basedOn w:val="NoSpacing"/>
    <w:uiPriority w:val="34"/>
    <w:semiHidden/>
    <w:rsid w:val="00C706BC"/>
    <w:pPr>
      <w:spacing w:line="216" w:lineRule="auto"/>
    </w:pPr>
    <w:rPr>
      <w:b/>
      <w:color w:val="FFFFFF" w:themeColor="background1"/>
      <w:sz w:val="84"/>
    </w:rPr>
  </w:style>
  <w:style w:type="paragraph" w:customStyle="1" w:styleId="CoverText">
    <w:name w:val="±CoverText"/>
    <w:basedOn w:val="NoSpacing"/>
    <w:uiPriority w:val="34"/>
    <w:semiHidden/>
    <w:rsid w:val="00C706BC"/>
    <w:rPr>
      <w:b/>
      <w:color w:val="466E84"/>
    </w:rPr>
  </w:style>
  <w:style w:type="paragraph" w:customStyle="1" w:styleId="CoverTitle">
    <w:name w:val="±CoverTitle"/>
    <w:basedOn w:val="NoSpacing"/>
    <w:uiPriority w:val="34"/>
    <w:semiHidden/>
    <w:rsid w:val="00C706BC"/>
    <w:pPr>
      <w:spacing w:line="216" w:lineRule="auto"/>
    </w:pPr>
    <w:rPr>
      <w:b/>
      <w:color w:val="FFCD00" w:themeColor="accent1"/>
      <w:sz w:val="84"/>
    </w:rPr>
  </w:style>
  <w:style w:type="paragraph" w:customStyle="1" w:styleId="CoverType">
    <w:name w:val="±CoverType"/>
    <w:basedOn w:val="NoSpacing"/>
    <w:uiPriority w:val="34"/>
    <w:semiHidden/>
    <w:rsid w:val="00C706BC"/>
    <w:pPr>
      <w:spacing w:after="480"/>
    </w:pPr>
    <w:rPr>
      <w:b/>
      <w:caps/>
      <w:color w:val="FFCD00" w:themeColor="accent1"/>
      <w:sz w:val="24"/>
    </w:rPr>
  </w:style>
  <w:style w:type="paragraph" w:customStyle="1" w:styleId="NoNumHead">
    <w:name w:val="±NoNumHead"/>
    <w:basedOn w:val="HeadNonToc"/>
    <w:next w:val="Normal"/>
    <w:uiPriority w:val="3"/>
    <w:rsid w:val="00C706BC"/>
    <w:pPr>
      <w:outlineLvl w:val="0"/>
    </w:pPr>
  </w:style>
  <w:style w:type="paragraph" w:customStyle="1" w:styleId="NoNumSubHead">
    <w:name w:val="±NoNumSubHead"/>
    <w:basedOn w:val="NoNumHead"/>
    <w:next w:val="Normal"/>
    <w:uiPriority w:val="3"/>
    <w:rsid w:val="00C706BC"/>
    <w:pPr>
      <w:pBdr>
        <w:top w:val="none" w:sz="0" w:space="0" w:color="auto"/>
      </w:pBdr>
      <w:spacing w:before="300" w:after="0"/>
    </w:pPr>
    <w:rPr>
      <w:sz w:val="24"/>
    </w:rPr>
  </w:style>
  <w:style w:type="table" w:customStyle="1" w:styleId="RCCTable">
    <w:name w:val="±RCC_Table"/>
    <w:basedOn w:val="TableNormal"/>
    <w:uiPriority w:val="99"/>
    <w:rsid w:val="00C706BC"/>
    <w:pPr>
      <w:spacing w:before="120" w:after="0" w:line="264" w:lineRule="auto"/>
    </w:pPr>
    <w:rPr>
      <w:color w:val="231F20" w:themeColor="text1"/>
      <w:sz w:val="19"/>
      <w:szCs w:val="19"/>
    </w:rPr>
    <w:tblPr>
      <w:tblBorders>
        <w:top w:val="single" w:sz="12" w:space="0" w:color="0080C8" w:themeColor="text2"/>
        <w:bottom w:val="single" w:sz="12" w:space="0" w:color="0080C8" w:themeColor="text2"/>
        <w:insideH w:val="single" w:sz="12" w:space="0" w:color="D9E1E2" w:themeColor="background2"/>
        <w:insideV w:val="single" w:sz="12" w:space="0" w:color="D9E1E2" w:themeColor="background2"/>
      </w:tblBorders>
    </w:tblPr>
    <w:tblStylePr w:type="firstRow">
      <w:pPr>
        <w:wordWrap/>
        <w:spacing w:beforeLines="0" w:before="80" w:beforeAutospacing="0" w:afterLines="0" w:after="80" w:afterAutospacing="0" w:line="264" w:lineRule="auto"/>
        <w:contextualSpacing w:val="0"/>
        <w:jc w:val="left"/>
      </w:pPr>
      <w:rPr>
        <w:b/>
        <w:color w:val="FFFFFF" w:themeColor="background1"/>
        <w:sz w:val="20"/>
      </w:rPr>
      <w:tblPr/>
      <w:trPr>
        <w:tblHeader/>
      </w:trPr>
      <w:tcPr>
        <w:tcBorders>
          <w:top w:val="single" w:sz="12" w:space="0" w:color="FFFFFF" w:themeColor="background1"/>
          <w:left w:val="nil"/>
          <w:bottom w:val="nil"/>
          <w:right w:val="nil"/>
          <w:insideH w:val="nil"/>
          <w:insideV w:val="single" w:sz="12" w:space="0" w:color="FFFFFF" w:themeColor="background1"/>
          <w:tl2br w:val="nil"/>
          <w:tr2bl w:val="nil"/>
        </w:tcBorders>
        <w:shd w:val="clear" w:color="auto" w:fill="0080C8" w:themeFill="text2"/>
        <w:vAlign w:val="bottom"/>
      </w:tcPr>
    </w:tblStylePr>
    <w:tblStylePr w:type="lastRow">
      <w:rPr>
        <w:b/>
      </w:rPr>
      <w:tblPr/>
      <w:tcPr>
        <w:tcBorders>
          <w:top w:val="single" w:sz="12" w:space="0" w:color="0080C8" w:themeColor="text2"/>
          <w:left w:val="nil"/>
          <w:bottom w:val="single" w:sz="12" w:space="0" w:color="0080C8" w:themeColor="text2"/>
          <w:right w:val="nil"/>
          <w:insideH w:val="nil"/>
          <w:insideV w:val="single" w:sz="12" w:space="0" w:color="D9E1E2" w:themeColor="background2"/>
          <w:tl2br w:val="nil"/>
          <w:tr2bl w:val="nil"/>
        </w:tcBorders>
      </w:tcPr>
    </w:tblStylePr>
    <w:tblStylePr w:type="firstCol">
      <w:rPr>
        <w:b/>
        <w:color w:val="0080C8" w:themeColor="text2"/>
      </w:rPr>
      <w:tblPr/>
      <w:tcPr>
        <w:shd w:val="clear" w:color="auto" w:fill="F2F2F2" w:themeFill="background1" w:themeFillShade="F2"/>
      </w:tcPr>
    </w:tblStylePr>
  </w:style>
  <w:style w:type="paragraph" w:customStyle="1" w:styleId="Source">
    <w:name w:val="±Source"/>
    <w:basedOn w:val="Normal"/>
    <w:next w:val="Normal"/>
    <w:uiPriority w:val="10"/>
    <w:rsid w:val="00C706BC"/>
    <w:pPr>
      <w:spacing w:before="60" w:after="240"/>
      <w:ind w:left="680" w:hanging="680"/>
    </w:pPr>
    <w:rPr>
      <w:rFonts w:eastAsia="Calibri"/>
      <w:i/>
      <w:sz w:val="18"/>
    </w:rPr>
  </w:style>
  <w:style w:type="paragraph" w:customStyle="1" w:styleId="Spacer">
    <w:name w:val="±Spacer"/>
    <w:basedOn w:val="NoSpacing"/>
    <w:semiHidden/>
    <w:rsid w:val="00C706BC"/>
    <w:rPr>
      <w:rFonts w:ascii="Arial" w:hAnsi="Arial"/>
      <w:sz w:val="2"/>
    </w:rPr>
  </w:style>
  <w:style w:type="paragraph" w:customStyle="1" w:styleId="SymbolBullet1">
    <w:name w:val="±SymbolBullet1"/>
    <w:basedOn w:val="Normal"/>
    <w:uiPriority w:val="1"/>
    <w:qFormat/>
    <w:rsid w:val="00C706BC"/>
    <w:pPr>
      <w:numPr>
        <w:numId w:val="5"/>
      </w:numPr>
      <w:spacing w:before="60" w:after="60"/>
    </w:pPr>
    <w:rPr>
      <w:rFonts w:eastAsia="Calibri"/>
    </w:rPr>
  </w:style>
  <w:style w:type="paragraph" w:customStyle="1" w:styleId="SymbolBullet2">
    <w:name w:val="±SymbolBullet2"/>
    <w:basedOn w:val="Normal"/>
    <w:uiPriority w:val="1"/>
    <w:rsid w:val="00C706BC"/>
    <w:pPr>
      <w:numPr>
        <w:ilvl w:val="1"/>
        <w:numId w:val="5"/>
      </w:numPr>
      <w:spacing w:before="60" w:after="60"/>
    </w:pPr>
  </w:style>
  <w:style w:type="paragraph" w:customStyle="1" w:styleId="SymbolBullet3">
    <w:name w:val="±SymbolBullet3"/>
    <w:basedOn w:val="Normal"/>
    <w:uiPriority w:val="1"/>
    <w:rsid w:val="00C706BC"/>
    <w:pPr>
      <w:numPr>
        <w:ilvl w:val="2"/>
        <w:numId w:val="5"/>
      </w:numPr>
      <w:spacing w:before="60" w:after="60"/>
    </w:pPr>
  </w:style>
  <w:style w:type="paragraph" w:customStyle="1" w:styleId="TableTextLeft">
    <w:name w:val="±TableTextLeft"/>
    <w:basedOn w:val="Normal"/>
    <w:uiPriority w:val="11"/>
    <w:rsid w:val="00C706BC"/>
    <w:pPr>
      <w:spacing w:before="40" w:after="40"/>
    </w:pPr>
    <w:rPr>
      <w:sz w:val="18"/>
    </w:rPr>
  </w:style>
  <w:style w:type="paragraph" w:customStyle="1" w:styleId="TableBullet1">
    <w:name w:val="±TableBullet1"/>
    <w:basedOn w:val="TableTextLeft"/>
    <w:uiPriority w:val="11"/>
    <w:rsid w:val="00C706BC"/>
    <w:pPr>
      <w:numPr>
        <w:numId w:val="6"/>
      </w:numPr>
    </w:pPr>
    <w:rPr>
      <w:rFonts w:eastAsia="Calibri"/>
    </w:rPr>
  </w:style>
  <w:style w:type="paragraph" w:customStyle="1" w:styleId="TableBullet2">
    <w:name w:val="±TableBullet2"/>
    <w:basedOn w:val="TableTextLeft"/>
    <w:uiPriority w:val="11"/>
    <w:rsid w:val="00C706BC"/>
    <w:pPr>
      <w:numPr>
        <w:ilvl w:val="1"/>
        <w:numId w:val="6"/>
      </w:numPr>
    </w:pPr>
  </w:style>
  <w:style w:type="paragraph" w:customStyle="1" w:styleId="TableBullet3">
    <w:name w:val="±TableBullet3"/>
    <w:basedOn w:val="TableTextLeft"/>
    <w:uiPriority w:val="11"/>
    <w:rsid w:val="00C706BC"/>
    <w:pPr>
      <w:numPr>
        <w:ilvl w:val="2"/>
        <w:numId w:val="6"/>
      </w:numPr>
    </w:pPr>
  </w:style>
  <w:style w:type="paragraph" w:customStyle="1" w:styleId="TableTextCentre">
    <w:name w:val="±TableTextCentre"/>
    <w:basedOn w:val="TableTextLeft"/>
    <w:uiPriority w:val="11"/>
    <w:rsid w:val="00C706BC"/>
    <w:pPr>
      <w:jc w:val="center"/>
    </w:pPr>
  </w:style>
  <w:style w:type="paragraph" w:customStyle="1" w:styleId="TableTextRight">
    <w:name w:val="±TableTextRight"/>
    <w:basedOn w:val="TableTextLeft"/>
    <w:uiPriority w:val="11"/>
    <w:rsid w:val="00C706BC"/>
    <w:pPr>
      <w:jc w:val="right"/>
    </w:pPr>
  </w:style>
  <w:style w:type="paragraph" w:styleId="BalloonText">
    <w:name w:val="Balloon Text"/>
    <w:basedOn w:val="Normal"/>
    <w:link w:val="BalloonTextChar"/>
    <w:uiPriority w:val="99"/>
    <w:semiHidden/>
    <w:unhideWhenUsed/>
    <w:rsid w:val="00C706BC"/>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C706BC"/>
    <w:rPr>
      <w:rFonts w:ascii="Tahoma" w:hAnsi="Tahoma" w:cs="Tahoma"/>
      <w:color w:val="808080" w:themeColor="background1" w:themeShade="80"/>
      <w:sz w:val="16"/>
      <w:szCs w:val="16"/>
      <w:lang w:val="en-AU"/>
    </w:rPr>
  </w:style>
  <w:style w:type="paragraph" w:styleId="Caption">
    <w:name w:val="caption"/>
    <w:aliases w:val="±Caption"/>
    <w:basedOn w:val="BodyHeading"/>
    <w:next w:val="Normal"/>
    <w:link w:val="CaptionChar"/>
    <w:uiPriority w:val="10"/>
    <w:qFormat/>
    <w:rsid w:val="00C706BC"/>
    <w:pPr>
      <w:spacing w:before="240" w:after="60"/>
    </w:pPr>
    <w:rPr>
      <w:rFonts w:eastAsia="Calibri"/>
      <w:sz w:val="18"/>
    </w:rPr>
  </w:style>
  <w:style w:type="character" w:customStyle="1" w:styleId="CaptionChar">
    <w:name w:val="Caption Char"/>
    <w:aliases w:val="±Caption Char"/>
    <w:basedOn w:val="DefaultParagraphFont"/>
    <w:link w:val="Caption"/>
    <w:uiPriority w:val="10"/>
    <w:rsid w:val="00C706BC"/>
    <w:rPr>
      <w:rFonts w:eastAsia="Calibri"/>
      <w:b/>
      <w:color w:val="231F20" w:themeColor="text1"/>
      <w:sz w:val="18"/>
      <w:szCs w:val="19"/>
      <w:lang w:val="en-AU"/>
    </w:rPr>
  </w:style>
  <w:style w:type="character" w:styleId="CommentReference">
    <w:name w:val="annotation reference"/>
    <w:basedOn w:val="DefaultParagraphFont"/>
    <w:uiPriority w:val="99"/>
    <w:semiHidden/>
    <w:unhideWhenUsed/>
    <w:rsid w:val="00C706BC"/>
    <w:rPr>
      <w:sz w:val="16"/>
      <w:szCs w:val="16"/>
    </w:rPr>
  </w:style>
  <w:style w:type="paragraph" w:styleId="CommentText">
    <w:name w:val="annotation text"/>
    <w:basedOn w:val="Normal"/>
    <w:link w:val="CommentTextChar"/>
    <w:uiPriority w:val="99"/>
    <w:semiHidden/>
    <w:unhideWhenUsed/>
    <w:rsid w:val="00C706BC"/>
    <w:rPr>
      <w:rFonts w:ascii="Arial" w:hAnsi="Arial"/>
      <w:color w:val="auto"/>
    </w:rPr>
  </w:style>
  <w:style w:type="character" w:customStyle="1" w:styleId="CommentTextChar">
    <w:name w:val="Comment Text Char"/>
    <w:basedOn w:val="DefaultParagraphFont"/>
    <w:link w:val="CommentText"/>
    <w:uiPriority w:val="99"/>
    <w:semiHidden/>
    <w:rsid w:val="00C706BC"/>
    <w:rPr>
      <w:rFonts w:ascii="Arial" w:hAnsi="Arial"/>
      <w:sz w:val="19"/>
      <w:szCs w:val="19"/>
      <w:lang w:val="en-AU"/>
    </w:rPr>
  </w:style>
  <w:style w:type="paragraph" w:styleId="CommentSubject">
    <w:name w:val="annotation subject"/>
    <w:basedOn w:val="CommentText"/>
    <w:next w:val="CommentText"/>
    <w:link w:val="CommentSubjectChar"/>
    <w:uiPriority w:val="99"/>
    <w:semiHidden/>
    <w:unhideWhenUsed/>
    <w:rsid w:val="00C706BC"/>
    <w:rPr>
      <w:b/>
      <w:bCs/>
    </w:rPr>
  </w:style>
  <w:style w:type="character" w:customStyle="1" w:styleId="CommentSubjectChar">
    <w:name w:val="Comment Subject Char"/>
    <w:basedOn w:val="CommentTextChar"/>
    <w:link w:val="CommentSubject"/>
    <w:uiPriority w:val="99"/>
    <w:semiHidden/>
    <w:rsid w:val="00C706BC"/>
    <w:rPr>
      <w:rFonts w:ascii="Arial" w:hAnsi="Arial"/>
      <w:b/>
      <w:bCs/>
      <w:sz w:val="19"/>
      <w:szCs w:val="19"/>
      <w:lang w:val="en-AU"/>
    </w:rPr>
  </w:style>
  <w:style w:type="character" w:styleId="FollowedHyperlink">
    <w:name w:val="FollowedHyperlink"/>
    <w:aliases w:val="±FollowedHyperlink"/>
    <w:basedOn w:val="DefaultParagraphFont"/>
    <w:uiPriority w:val="37"/>
    <w:semiHidden/>
    <w:rsid w:val="00C706BC"/>
    <w:rPr>
      <w:color w:val="FF8200"/>
      <w:u w:val="none"/>
    </w:rPr>
  </w:style>
  <w:style w:type="paragraph" w:styleId="Footer">
    <w:name w:val="footer"/>
    <w:aliases w:val="±Footer"/>
    <w:basedOn w:val="NoSpacing"/>
    <w:link w:val="FooterChar"/>
    <w:uiPriority w:val="36"/>
    <w:semiHidden/>
    <w:rsid w:val="00C706BC"/>
    <w:rPr>
      <w:color w:val="57728B"/>
      <w:sz w:val="14"/>
    </w:rPr>
  </w:style>
  <w:style w:type="character" w:customStyle="1" w:styleId="FooterChar">
    <w:name w:val="Footer Char"/>
    <w:aliases w:val="±Footer Char"/>
    <w:basedOn w:val="DefaultParagraphFont"/>
    <w:link w:val="Footer"/>
    <w:uiPriority w:val="36"/>
    <w:semiHidden/>
    <w:rsid w:val="00C706BC"/>
    <w:rPr>
      <w:rFonts w:cs="Arial"/>
      <w:color w:val="57728B"/>
      <w:sz w:val="14"/>
      <w:szCs w:val="20"/>
      <w:lang w:val="en-AU"/>
    </w:rPr>
  </w:style>
  <w:style w:type="character" w:styleId="FootnoteReference">
    <w:name w:val="footnote reference"/>
    <w:basedOn w:val="DefaultParagraphFont"/>
    <w:uiPriority w:val="35"/>
    <w:semiHidden/>
    <w:rsid w:val="00C706BC"/>
    <w:rPr>
      <w:rFonts w:asciiTheme="minorHAnsi" w:hAnsiTheme="minorHAnsi"/>
      <w:color w:val="0080C8" w:themeColor="text2"/>
      <w:vertAlign w:val="superscript"/>
    </w:rPr>
  </w:style>
  <w:style w:type="paragraph" w:styleId="FootnoteText">
    <w:name w:val="footnote text"/>
    <w:aliases w:val="±FootnoteText"/>
    <w:basedOn w:val="NoSpacing"/>
    <w:link w:val="FootnoteTextChar"/>
    <w:uiPriority w:val="35"/>
    <w:semiHidden/>
    <w:rsid w:val="00C706BC"/>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706BC"/>
    <w:rPr>
      <w:rFonts w:cs="Arial"/>
      <w:color w:val="231F20" w:themeColor="text1"/>
      <w:sz w:val="18"/>
      <w:szCs w:val="20"/>
      <w:lang w:val="en-AU"/>
    </w:rPr>
  </w:style>
  <w:style w:type="paragraph" w:styleId="Header">
    <w:name w:val="header"/>
    <w:aliases w:val="±Header"/>
    <w:basedOn w:val="NoSpacing"/>
    <w:link w:val="HeaderChar"/>
    <w:uiPriority w:val="36"/>
    <w:semiHidden/>
    <w:rsid w:val="00C706BC"/>
    <w:rPr>
      <w:sz w:val="14"/>
    </w:rPr>
  </w:style>
  <w:style w:type="character" w:customStyle="1" w:styleId="HeaderChar">
    <w:name w:val="Header Char"/>
    <w:aliases w:val="±Header Char"/>
    <w:basedOn w:val="DefaultParagraphFont"/>
    <w:link w:val="Header"/>
    <w:uiPriority w:val="36"/>
    <w:semiHidden/>
    <w:rsid w:val="00C706BC"/>
    <w:rPr>
      <w:rFonts w:cs="Arial"/>
      <w:color w:val="231F20" w:themeColor="text1"/>
      <w:sz w:val="14"/>
      <w:szCs w:val="20"/>
      <w:lang w:val="en-AU"/>
    </w:rPr>
  </w:style>
  <w:style w:type="character" w:customStyle="1" w:styleId="Heading1Char">
    <w:name w:val="Heading 1 Char"/>
    <w:aliases w:val="±Head1 Char"/>
    <w:basedOn w:val="DefaultParagraphFont"/>
    <w:link w:val="Heading1"/>
    <w:uiPriority w:val="4"/>
    <w:rsid w:val="00C706BC"/>
    <w:rPr>
      <w:rFonts w:asciiTheme="majorHAnsi" w:hAnsiTheme="majorHAnsi" w:cs="Arial"/>
      <w:b/>
      <w:color w:val="0080C8" w:themeColor="text2"/>
      <w:sz w:val="36"/>
      <w:szCs w:val="20"/>
      <w:lang w:val="en-AU"/>
    </w:rPr>
  </w:style>
  <w:style w:type="character" w:customStyle="1" w:styleId="Heading2Char">
    <w:name w:val="Heading 2 Char"/>
    <w:aliases w:val="±Head2 Char"/>
    <w:basedOn w:val="DefaultParagraphFont"/>
    <w:link w:val="Heading2"/>
    <w:uiPriority w:val="4"/>
    <w:rsid w:val="00C706BC"/>
    <w:rPr>
      <w:rFonts w:asciiTheme="majorHAnsi" w:hAnsiTheme="majorHAnsi" w:cs="Arial"/>
      <w:b/>
      <w:color w:val="0080C8" w:themeColor="text2"/>
      <w:sz w:val="24"/>
      <w:szCs w:val="20"/>
      <w:lang w:val="en-AU"/>
    </w:rPr>
  </w:style>
  <w:style w:type="character" w:customStyle="1" w:styleId="Heading3Char">
    <w:name w:val="Heading 3 Char"/>
    <w:aliases w:val="±Head3 Char"/>
    <w:basedOn w:val="DefaultParagraphFont"/>
    <w:link w:val="Heading3"/>
    <w:uiPriority w:val="4"/>
    <w:rsid w:val="00C706BC"/>
    <w:rPr>
      <w:rFonts w:asciiTheme="majorHAnsi" w:hAnsiTheme="majorHAnsi" w:cs="Arial"/>
      <w:b/>
      <w:color w:val="0080C8" w:themeColor="text2"/>
      <w:sz w:val="20"/>
      <w:szCs w:val="20"/>
      <w:lang w:val="en-AU"/>
    </w:rPr>
  </w:style>
  <w:style w:type="character" w:customStyle="1" w:styleId="Heading4Char">
    <w:name w:val="Heading 4 Char"/>
    <w:aliases w:val="±Head4 Char"/>
    <w:basedOn w:val="DefaultParagraphFont"/>
    <w:link w:val="Heading4"/>
    <w:uiPriority w:val="4"/>
    <w:semiHidden/>
    <w:rsid w:val="00C706BC"/>
    <w:rPr>
      <w:rFonts w:asciiTheme="majorHAnsi" w:hAnsiTheme="majorHAnsi" w:cs="Arial"/>
      <w:color w:val="0080C8" w:themeColor="text2"/>
      <w:sz w:val="24"/>
      <w:szCs w:val="20"/>
      <w:lang w:val="en-AU"/>
    </w:rPr>
  </w:style>
  <w:style w:type="character" w:customStyle="1" w:styleId="Heading5Char">
    <w:name w:val="Heading 5 Char"/>
    <w:aliases w:val="±Head5 Char"/>
    <w:basedOn w:val="DefaultParagraphFont"/>
    <w:link w:val="Heading5"/>
    <w:uiPriority w:val="4"/>
    <w:semiHidden/>
    <w:rsid w:val="00C706BC"/>
    <w:rPr>
      <w:rFonts w:asciiTheme="majorHAnsi" w:eastAsiaTheme="majorEastAsia" w:hAnsiTheme="majorHAnsi" w:cstheme="majorBidi"/>
      <w:color w:val="0080C8" w:themeColor="text2"/>
      <w:sz w:val="24"/>
      <w:szCs w:val="20"/>
      <w:lang w:val="en-AU"/>
    </w:rPr>
  </w:style>
  <w:style w:type="character" w:customStyle="1" w:styleId="Heading6Char">
    <w:name w:val="Heading 6 Char"/>
    <w:aliases w:val="±Head6 Char"/>
    <w:basedOn w:val="DefaultParagraphFont"/>
    <w:link w:val="Heading6"/>
    <w:uiPriority w:val="4"/>
    <w:semiHidden/>
    <w:rsid w:val="00C706BC"/>
    <w:rPr>
      <w:rFonts w:asciiTheme="majorHAnsi" w:eastAsiaTheme="majorEastAsia" w:hAnsiTheme="majorHAnsi" w:cstheme="majorBidi"/>
      <w:i/>
      <w:iCs/>
      <w:color w:val="0080C8" w:themeColor="text2"/>
      <w:sz w:val="24"/>
      <w:szCs w:val="20"/>
      <w:lang w:val="en-AU"/>
    </w:rPr>
  </w:style>
  <w:style w:type="character" w:customStyle="1" w:styleId="Heading7Char">
    <w:name w:val="Heading 7 Char"/>
    <w:aliases w:val="±Head7 Char"/>
    <w:basedOn w:val="DefaultParagraphFont"/>
    <w:link w:val="Heading7"/>
    <w:uiPriority w:val="4"/>
    <w:semiHidden/>
    <w:rsid w:val="00C706BC"/>
    <w:rPr>
      <w:rFonts w:asciiTheme="majorHAnsi" w:eastAsiaTheme="majorEastAsia" w:hAnsiTheme="majorHAnsi" w:cstheme="majorBidi"/>
      <w:iCs/>
      <w:color w:val="0080C8" w:themeColor="text2"/>
      <w:sz w:val="24"/>
      <w:szCs w:val="20"/>
      <w:lang w:val="en-AU"/>
    </w:rPr>
  </w:style>
  <w:style w:type="character" w:customStyle="1" w:styleId="Heading8Char">
    <w:name w:val="Heading 8 Char"/>
    <w:aliases w:val="±Head8 Char"/>
    <w:basedOn w:val="DefaultParagraphFont"/>
    <w:link w:val="Heading8"/>
    <w:uiPriority w:val="4"/>
    <w:semiHidden/>
    <w:rsid w:val="00C706BC"/>
    <w:rPr>
      <w:rFonts w:asciiTheme="majorHAnsi" w:eastAsiaTheme="majorEastAsia" w:hAnsiTheme="majorHAnsi" w:cstheme="majorBidi"/>
      <w:b/>
      <w:color w:val="0080C8" w:themeColor="text2"/>
      <w:sz w:val="24"/>
      <w:szCs w:val="20"/>
      <w:lang w:val="en-AU"/>
    </w:rPr>
  </w:style>
  <w:style w:type="character" w:customStyle="1" w:styleId="Heading9Char">
    <w:name w:val="Heading 9 Char"/>
    <w:aliases w:val="±Head9 Char"/>
    <w:basedOn w:val="DefaultParagraphFont"/>
    <w:link w:val="Heading9"/>
    <w:uiPriority w:val="4"/>
    <w:semiHidden/>
    <w:rsid w:val="00C706BC"/>
    <w:rPr>
      <w:rFonts w:asciiTheme="majorHAnsi" w:eastAsiaTheme="majorEastAsia" w:hAnsiTheme="majorHAnsi" w:cstheme="majorBidi"/>
      <w:b/>
      <w:i/>
      <w:iCs/>
      <w:color w:val="0080C8" w:themeColor="text2"/>
      <w:sz w:val="24"/>
      <w:szCs w:val="20"/>
      <w:lang w:val="en-AU"/>
    </w:rPr>
  </w:style>
  <w:style w:type="character" w:styleId="Hyperlink">
    <w:name w:val="Hyperlink"/>
    <w:aliases w:val="±HyperLink"/>
    <w:basedOn w:val="DefaultParagraphFont"/>
    <w:uiPriority w:val="99"/>
    <w:semiHidden/>
    <w:rsid w:val="00C706BC"/>
    <w:rPr>
      <w:color w:val="0080C8"/>
      <w:u w:val="none"/>
    </w:rPr>
  </w:style>
  <w:style w:type="paragraph" w:styleId="ListParagraph">
    <w:name w:val="List Paragraph"/>
    <w:basedOn w:val="Normal"/>
    <w:uiPriority w:val="34"/>
    <w:rsid w:val="00C706BC"/>
    <w:pPr>
      <w:ind w:left="720"/>
      <w:contextualSpacing/>
    </w:pPr>
  </w:style>
  <w:style w:type="table" w:styleId="MediumShading2-Accent1">
    <w:name w:val="Medium Shading 2 Accent 1"/>
    <w:basedOn w:val="TableNormal"/>
    <w:uiPriority w:val="64"/>
    <w:rsid w:val="00C706BC"/>
    <w:pPr>
      <w:spacing w:before="120" w:after="0" w:line="264" w:lineRule="auto"/>
    </w:pPr>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D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D00" w:themeFill="accent1"/>
      </w:tcPr>
    </w:tblStylePr>
    <w:tblStylePr w:type="lastCol">
      <w:rPr>
        <w:b/>
        <w:bCs/>
        <w:color w:val="FFFFFF" w:themeColor="background1"/>
      </w:rPr>
      <w:tblPr/>
      <w:tcPr>
        <w:tcBorders>
          <w:left w:val="nil"/>
          <w:right w:val="nil"/>
          <w:insideH w:val="nil"/>
          <w:insideV w:val="nil"/>
        </w:tcBorders>
        <w:shd w:val="clear" w:color="auto" w:fill="FFCD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706BC"/>
    <w:rPr>
      <w:color w:val="808080"/>
    </w:rPr>
  </w:style>
  <w:style w:type="table" w:styleId="TableGrid">
    <w:name w:val="Table Grid"/>
    <w:basedOn w:val="TableNormal"/>
    <w:uiPriority w:val="39"/>
    <w:rsid w:val="00C706BC"/>
    <w:pPr>
      <w:spacing w:before="120" w:after="0" w:line="264" w:lineRule="auto"/>
    </w:pPr>
    <w:rPr>
      <w:color w:val="231F20" w:themeColor="text1"/>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C706BC"/>
    <w:pPr>
      <w:tabs>
        <w:tab w:val="left" w:pos="1276"/>
        <w:tab w:val="right" w:leader="dot" w:pos="9911"/>
      </w:tabs>
      <w:spacing w:before="40" w:after="40" w:line="276" w:lineRule="auto"/>
      <w:ind w:left="1276" w:right="709" w:hanging="1276"/>
    </w:pPr>
    <w:rPr>
      <w:rFonts w:cs="System"/>
      <w:noProof/>
      <w:color w:val="0080C8" w:themeColor="text2"/>
      <w:szCs w:val="21"/>
    </w:rPr>
  </w:style>
  <w:style w:type="paragraph" w:styleId="TOC1">
    <w:name w:val="toc 1"/>
    <w:aliases w:val="±Heads1"/>
    <w:basedOn w:val="NoSpacing"/>
    <w:next w:val="Normal"/>
    <w:uiPriority w:val="39"/>
    <w:semiHidden/>
    <w:rsid w:val="00C706BC"/>
    <w:pPr>
      <w:pBdr>
        <w:bottom w:val="single" w:sz="2" w:space="4" w:color="231F20" w:themeColor="text1"/>
        <w:between w:val="single" w:sz="2" w:space="1" w:color="231F20" w:themeColor="text1"/>
      </w:pBdr>
      <w:tabs>
        <w:tab w:val="right" w:pos="5954"/>
      </w:tabs>
      <w:spacing w:before="120" w:after="40"/>
    </w:pPr>
    <w:rPr>
      <w:rFonts w:asciiTheme="majorHAnsi" w:eastAsiaTheme="minorEastAsia" w:hAnsiTheme="majorHAnsi"/>
      <w:b/>
      <w:noProof/>
      <w:sz w:val="24"/>
      <w:lang w:eastAsia="en-GB"/>
    </w:rPr>
  </w:style>
  <w:style w:type="paragraph" w:styleId="TOC2">
    <w:name w:val="toc 2"/>
    <w:aliases w:val="±Heads2"/>
    <w:basedOn w:val="TOC1"/>
    <w:next w:val="Normal"/>
    <w:uiPriority w:val="39"/>
    <w:semiHidden/>
    <w:rsid w:val="00C706BC"/>
    <w:pPr>
      <w:ind w:left="284"/>
    </w:pPr>
    <w:rPr>
      <w:b w:val="0"/>
      <w:sz w:val="20"/>
    </w:rPr>
  </w:style>
  <w:style w:type="paragraph" w:styleId="TOC3">
    <w:name w:val="toc 3"/>
    <w:aliases w:val="±Heads3"/>
    <w:basedOn w:val="TOC2"/>
    <w:next w:val="Normal"/>
    <w:uiPriority w:val="39"/>
    <w:semiHidden/>
    <w:rsid w:val="00C706BC"/>
    <w:pPr>
      <w:ind w:left="680"/>
    </w:pPr>
  </w:style>
  <w:style w:type="paragraph" w:styleId="TOC4">
    <w:name w:val="toc 4"/>
    <w:aliases w:val="±Heads4"/>
    <w:basedOn w:val="TOC3"/>
    <w:next w:val="Normal"/>
    <w:uiPriority w:val="39"/>
    <w:semiHidden/>
    <w:rsid w:val="00C706BC"/>
    <w:pPr>
      <w:tabs>
        <w:tab w:val="left" w:pos="2098"/>
      </w:tabs>
      <w:ind w:left="2098" w:hanging="794"/>
    </w:pPr>
  </w:style>
  <w:style w:type="paragraph" w:styleId="TOC5">
    <w:name w:val="toc 5"/>
    <w:aliases w:val="±NoNumHeads"/>
    <w:basedOn w:val="TOC1"/>
    <w:next w:val="Normal"/>
    <w:uiPriority w:val="39"/>
    <w:semiHidden/>
    <w:rsid w:val="00C706BC"/>
  </w:style>
  <w:style w:type="paragraph" w:styleId="TOC6">
    <w:name w:val="toc 6"/>
    <w:aliases w:val="±AppDiv"/>
    <w:basedOn w:val="TOC1"/>
    <w:next w:val="Normal"/>
    <w:uiPriority w:val="39"/>
    <w:semiHidden/>
    <w:rsid w:val="00C706BC"/>
  </w:style>
  <w:style w:type="paragraph" w:styleId="TOC7">
    <w:name w:val="toc 7"/>
    <w:aliases w:val="±AppHeads1"/>
    <w:basedOn w:val="TOC1"/>
    <w:next w:val="Normal"/>
    <w:uiPriority w:val="39"/>
    <w:semiHidden/>
    <w:rsid w:val="00C706BC"/>
  </w:style>
  <w:style w:type="paragraph" w:styleId="TOC8">
    <w:name w:val="toc 8"/>
    <w:aliases w:val="±AppHeads2"/>
    <w:basedOn w:val="TOC2"/>
    <w:next w:val="Normal"/>
    <w:uiPriority w:val="39"/>
    <w:semiHidden/>
    <w:rsid w:val="00C706BC"/>
    <w:pPr>
      <w:ind w:left="340"/>
    </w:pPr>
  </w:style>
  <w:style w:type="paragraph" w:styleId="TOC9">
    <w:name w:val="toc 9"/>
    <w:aliases w:val="±AppHeads3"/>
    <w:basedOn w:val="TOC3"/>
    <w:next w:val="Normal"/>
    <w:uiPriority w:val="39"/>
    <w:semiHidden/>
    <w:rsid w:val="00C706BC"/>
    <w:pPr>
      <w:spacing w:after="100"/>
      <w:ind w:left="1600"/>
    </w:pPr>
    <w:rPr>
      <w:rFonts w:ascii="Arial" w:hAnsi="Arial"/>
    </w:rPr>
  </w:style>
  <w:style w:type="paragraph" w:styleId="TOCHeading">
    <w:name w:val="TOC Heading"/>
    <w:basedOn w:val="Heading1"/>
    <w:next w:val="Normal"/>
    <w:uiPriority w:val="38"/>
    <w:semiHidden/>
    <w:rsid w:val="00C706BC"/>
    <w:pPr>
      <w:keepLines/>
      <w:framePr w:w="2552" w:h="510" w:hRule="exact" w:wrap="around" w:vAnchor="page" w:hAnchor="page" w:x="1419" w:y="1560" w:anchorLock="1"/>
      <w:numPr>
        <w:numId w:val="0"/>
      </w:numPr>
      <w:pBdr>
        <w:top w:val="none" w:sz="0" w:space="0" w:color="auto"/>
      </w:pBdr>
      <w:spacing w:before="0" w:after="0" w:line="216" w:lineRule="auto"/>
      <w:outlineLvl w:val="9"/>
    </w:pPr>
    <w:rPr>
      <w:rFonts w:eastAsiaTheme="majorEastAsia" w:cstheme="majorBidi"/>
      <w:bCs/>
      <w:color w:val="FFCD00" w:themeColor="accent1"/>
      <w:sz w:val="48"/>
      <w:szCs w:val="28"/>
    </w:rPr>
  </w:style>
  <w:style w:type="character" w:customStyle="1" w:styleId="frag-name">
    <w:name w:val="frag-name"/>
    <w:basedOn w:val="DefaultParagraphFont"/>
    <w:rsid w:val="0031334D"/>
  </w:style>
  <w:style w:type="character" w:customStyle="1" w:styleId="frag-no">
    <w:name w:val="frag-no"/>
    <w:basedOn w:val="DefaultParagraphFont"/>
    <w:rsid w:val="00AB5CAC"/>
  </w:style>
  <w:style w:type="table" w:customStyle="1" w:styleId="ProjectTable">
    <w:name w:val="Project Table"/>
    <w:basedOn w:val="TableNormal"/>
    <w:uiPriority w:val="99"/>
    <w:rsid w:val="004E051D"/>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838786">
      <w:bodyDiv w:val="1"/>
      <w:marLeft w:val="0"/>
      <w:marRight w:val="0"/>
      <w:marTop w:val="0"/>
      <w:marBottom w:val="0"/>
      <w:divBdr>
        <w:top w:val="none" w:sz="0" w:space="0" w:color="auto"/>
        <w:left w:val="none" w:sz="0" w:space="0" w:color="auto"/>
        <w:bottom w:val="none" w:sz="0" w:space="0" w:color="auto"/>
        <w:right w:val="none" w:sz="0" w:space="0" w:color="auto"/>
      </w:divBdr>
      <w:divsChild>
        <w:div w:id="1486966459">
          <w:marLeft w:val="0"/>
          <w:marRight w:val="0"/>
          <w:marTop w:val="0"/>
          <w:marBottom w:val="0"/>
          <w:divBdr>
            <w:top w:val="none" w:sz="0" w:space="0" w:color="auto"/>
            <w:left w:val="none" w:sz="0" w:space="0" w:color="auto"/>
            <w:bottom w:val="none" w:sz="0" w:space="0" w:color="auto"/>
            <w:right w:val="none" w:sz="0" w:space="0" w:color="auto"/>
          </w:divBdr>
          <w:divsChild>
            <w:div w:id="3460625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964285">
          <w:marLeft w:val="0"/>
          <w:marRight w:val="0"/>
          <w:marTop w:val="0"/>
          <w:marBottom w:val="0"/>
          <w:divBdr>
            <w:top w:val="none" w:sz="0" w:space="0" w:color="auto"/>
            <w:left w:val="none" w:sz="0" w:space="0" w:color="auto"/>
            <w:bottom w:val="none" w:sz="0" w:space="0" w:color="auto"/>
            <w:right w:val="none" w:sz="0" w:space="0" w:color="auto"/>
          </w:divBdr>
          <w:divsChild>
            <w:div w:id="19930931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96148502">
          <w:marLeft w:val="0"/>
          <w:marRight w:val="0"/>
          <w:marTop w:val="0"/>
          <w:marBottom w:val="0"/>
          <w:divBdr>
            <w:top w:val="none" w:sz="0" w:space="0" w:color="auto"/>
            <w:left w:val="none" w:sz="0" w:space="0" w:color="auto"/>
            <w:bottom w:val="none" w:sz="0" w:space="0" w:color="auto"/>
            <w:right w:val="none" w:sz="0" w:space="0" w:color="auto"/>
          </w:divBdr>
          <w:divsChild>
            <w:div w:id="10675321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39810428">
                  <w:marLeft w:val="0"/>
                  <w:marRight w:val="0"/>
                  <w:marTop w:val="0"/>
                  <w:marBottom w:val="0"/>
                  <w:divBdr>
                    <w:top w:val="none" w:sz="0" w:space="0" w:color="auto"/>
                    <w:left w:val="none" w:sz="0" w:space="0" w:color="auto"/>
                    <w:bottom w:val="none" w:sz="0" w:space="0" w:color="auto"/>
                    <w:right w:val="none" w:sz="0" w:space="0" w:color="auto"/>
                  </w:divBdr>
                  <w:divsChild>
                    <w:div w:id="20084350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5668518">
                  <w:marLeft w:val="0"/>
                  <w:marRight w:val="0"/>
                  <w:marTop w:val="0"/>
                  <w:marBottom w:val="0"/>
                  <w:divBdr>
                    <w:top w:val="none" w:sz="0" w:space="0" w:color="auto"/>
                    <w:left w:val="none" w:sz="0" w:space="0" w:color="auto"/>
                    <w:bottom w:val="none" w:sz="0" w:space="0" w:color="auto"/>
                    <w:right w:val="none" w:sz="0" w:space="0" w:color="auto"/>
                  </w:divBdr>
                  <w:divsChild>
                    <w:div w:id="14746434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3950092">
                  <w:marLeft w:val="0"/>
                  <w:marRight w:val="0"/>
                  <w:marTop w:val="0"/>
                  <w:marBottom w:val="0"/>
                  <w:divBdr>
                    <w:top w:val="none" w:sz="0" w:space="0" w:color="auto"/>
                    <w:left w:val="none" w:sz="0" w:space="0" w:color="auto"/>
                    <w:bottom w:val="none" w:sz="0" w:space="0" w:color="auto"/>
                    <w:right w:val="none" w:sz="0" w:space="0" w:color="auto"/>
                  </w:divBdr>
                  <w:divsChild>
                    <w:div w:id="12121842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4230031">
                  <w:marLeft w:val="0"/>
                  <w:marRight w:val="0"/>
                  <w:marTop w:val="0"/>
                  <w:marBottom w:val="0"/>
                  <w:divBdr>
                    <w:top w:val="none" w:sz="0" w:space="0" w:color="auto"/>
                    <w:left w:val="none" w:sz="0" w:space="0" w:color="auto"/>
                    <w:bottom w:val="none" w:sz="0" w:space="0" w:color="auto"/>
                    <w:right w:val="none" w:sz="0" w:space="0" w:color="auto"/>
                  </w:divBdr>
                  <w:divsChild>
                    <w:div w:id="9504301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77343585">
      <w:bodyDiv w:val="1"/>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244683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1433568">
          <w:marLeft w:val="0"/>
          <w:marRight w:val="0"/>
          <w:marTop w:val="0"/>
          <w:marBottom w:val="0"/>
          <w:divBdr>
            <w:top w:val="none" w:sz="0" w:space="0" w:color="auto"/>
            <w:left w:val="none" w:sz="0" w:space="0" w:color="auto"/>
            <w:bottom w:val="none" w:sz="0" w:space="0" w:color="auto"/>
            <w:right w:val="none" w:sz="0" w:space="0" w:color="auto"/>
          </w:divBdr>
          <w:divsChild>
            <w:div w:id="13796639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2687605">
          <w:marLeft w:val="0"/>
          <w:marRight w:val="0"/>
          <w:marTop w:val="0"/>
          <w:marBottom w:val="0"/>
          <w:divBdr>
            <w:top w:val="none" w:sz="0" w:space="0" w:color="auto"/>
            <w:left w:val="none" w:sz="0" w:space="0" w:color="auto"/>
            <w:bottom w:val="none" w:sz="0" w:space="0" w:color="auto"/>
            <w:right w:val="none" w:sz="0" w:space="0" w:color="auto"/>
          </w:divBdr>
          <w:divsChild>
            <w:div w:id="41367351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3838511">
                  <w:marLeft w:val="0"/>
                  <w:marRight w:val="0"/>
                  <w:marTop w:val="0"/>
                  <w:marBottom w:val="0"/>
                  <w:divBdr>
                    <w:top w:val="none" w:sz="0" w:space="0" w:color="auto"/>
                    <w:left w:val="none" w:sz="0" w:space="0" w:color="auto"/>
                    <w:bottom w:val="none" w:sz="0" w:space="0" w:color="auto"/>
                    <w:right w:val="none" w:sz="0" w:space="0" w:color="auto"/>
                  </w:divBdr>
                  <w:divsChild>
                    <w:div w:id="2586785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7014339">
                  <w:marLeft w:val="0"/>
                  <w:marRight w:val="0"/>
                  <w:marTop w:val="0"/>
                  <w:marBottom w:val="0"/>
                  <w:divBdr>
                    <w:top w:val="none" w:sz="0" w:space="0" w:color="auto"/>
                    <w:left w:val="none" w:sz="0" w:space="0" w:color="auto"/>
                    <w:bottom w:val="none" w:sz="0" w:space="0" w:color="auto"/>
                    <w:right w:val="none" w:sz="0" w:space="0" w:color="auto"/>
                  </w:divBdr>
                  <w:divsChild>
                    <w:div w:id="9294343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7516613">
                  <w:marLeft w:val="0"/>
                  <w:marRight w:val="0"/>
                  <w:marTop w:val="0"/>
                  <w:marBottom w:val="0"/>
                  <w:divBdr>
                    <w:top w:val="none" w:sz="0" w:space="0" w:color="auto"/>
                    <w:left w:val="none" w:sz="0" w:space="0" w:color="auto"/>
                    <w:bottom w:val="none" w:sz="0" w:space="0" w:color="auto"/>
                    <w:right w:val="none" w:sz="0" w:space="0" w:color="auto"/>
                  </w:divBdr>
                  <w:divsChild>
                    <w:div w:id="720596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8480852">
                  <w:marLeft w:val="0"/>
                  <w:marRight w:val="0"/>
                  <w:marTop w:val="0"/>
                  <w:marBottom w:val="0"/>
                  <w:divBdr>
                    <w:top w:val="none" w:sz="0" w:space="0" w:color="auto"/>
                    <w:left w:val="none" w:sz="0" w:space="0" w:color="auto"/>
                    <w:bottom w:val="none" w:sz="0" w:space="0" w:color="auto"/>
                    <w:right w:val="none" w:sz="0" w:space="0" w:color="auto"/>
                  </w:divBdr>
                  <w:divsChild>
                    <w:div w:id="1550072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CC_Blue">
      <a:dk1>
        <a:srgbClr val="231F20"/>
      </a:dk1>
      <a:lt1>
        <a:srgbClr val="FFFFFF"/>
      </a:lt1>
      <a:dk2>
        <a:srgbClr val="0080C8"/>
      </a:dk2>
      <a:lt2>
        <a:srgbClr val="D9E1E2"/>
      </a:lt2>
      <a:accent1>
        <a:srgbClr val="FFCD00"/>
      </a:accent1>
      <a:accent2>
        <a:srgbClr val="B3BE35"/>
      </a:accent2>
      <a:accent3>
        <a:srgbClr val="006472"/>
      </a:accent3>
      <a:accent4>
        <a:srgbClr val="FF8200"/>
      </a:accent4>
      <a:accent5>
        <a:srgbClr val="671E75"/>
      </a:accent5>
      <a:accent6>
        <a:srgbClr val="003B5C"/>
      </a:accent6>
      <a:hlink>
        <a:srgbClr val="0080C8"/>
      </a:hlink>
      <a:folHlink>
        <a:srgbClr val="FF8200"/>
      </a:folHlink>
    </a:clrScheme>
    <a:fontScheme name="RCC">
      <a:majorFont>
        <a:latin typeface="HelveticaNeueLT Pro 55 Roman"/>
        <a:ea typeface=""/>
        <a:cs typeface=""/>
      </a:majorFont>
      <a:minorFont>
        <a:latin typeface="HelveticaNeueLT Pro 55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3E6D-DBB1-4858-AC05-427429F4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3518</Words>
  <Characters>18860</Characters>
  <Application>Microsoft Office Word</Application>
  <DocSecurity>0</DocSecurity>
  <Lines>336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 Faridy</dc:creator>
  <cp:keywords/>
  <dc:description/>
  <cp:lastModifiedBy>Sohail Faridy</cp:lastModifiedBy>
  <cp:revision>5</cp:revision>
  <dcterms:created xsi:type="dcterms:W3CDTF">2021-11-29T22:11:00Z</dcterms:created>
  <dcterms:modified xsi:type="dcterms:W3CDTF">2021-11-30T05:07:00Z</dcterms:modified>
</cp:coreProperties>
</file>